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EFEC3">
      <w:pPr>
        <w:spacing w:line="160" w:lineRule="exact"/>
        <w:rPr>
          <w:rFonts w:hint="default" w:ascii="Times New Roman" w:hAnsi="Times New Roman" w:eastAsia="方正黑体简体" w:cs="Times New Roman"/>
          <w:bCs/>
          <w:color w:val="auto"/>
          <w:highlight w:val="none"/>
        </w:rPr>
      </w:pPr>
      <w:r>
        <w:rPr>
          <w:rFonts w:hint="default" w:ascii="Times New Roman" w:hAnsi="Times New Roman" w:cs="Times New Roman"/>
          <w:b/>
          <w:bCs/>
          <w:color w:val="auto"/>
          <w:sz w:val="52"/>
          <w:highlight w:val="none"/>
        </w:rPr>
        <w:drawing>
          <wp:anchor distT="0" distB="0" distL="114300" distR="114300" simplePos="0" relativeHeight="251670528" behindDoc="0" locked="0" layoutInCell="1" allowOverlap="1">
            <wp:simplePos x="0" y="0"/>
            <wp:positionH relativeFrom="column">
              <wp:posOffset>4129405</wp:posOffset>
            </wp:positionH>
            <wp:positionV relativeFrom="paragraph">
              <wp:posOffset>-593090</wp:posOffset>
            </wp:positionV>
            <wp:extent cx="1817370" cy="716280"/>
            <wp:effectExtent l="0" t="0" r="0" b="7620"/>
            <wp:wrapNone/>
            <wp:docPr id="1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817228" cy="716280"/>
                    </a:xfrm>
                    <a:prstGeom prst="rect">
                      <a:avLst/>
                    </a:prstGeom>
                    <a:noFill/>
                    <a:ln w="9525">
                      <a:noFill/>
                    </a:ln>
                  </pic:spPr>
                </pic:pic>
              </a:graphicData>
            </a:graphic>
          </wp:anchor>
        </w:drawing>
      </w:r>
      <w:r>
        <w:rPr>
          <w:rFonts w:hint="default" w:ascii="Times New Roman" w:hAnsi="Times New Roman" w:eastAsia="方正书宋简体" w:cs="Times New Roman"/>
          <w:bCs/>
          <w:color w:val="auto"/>
          <w:szCs w:val="21"/>
          <w:highlight w:val="none"/>
        </w:rPr>
        <mc:AlternateContent>
          <mc:Choice Requires="wps">
            <w:drawing>
              <wp:anchor distT="0" distB="0" distL="114300" distR="114300" simplePos="0" relativeHeight="251669504" behindDoc="0" locked="0" layoutInCell="1" allowOverlap="1">
                <wp:simplePos x="0" y="0"/>
                <wp:positionH relativeFrom="column">
                  <wp:posOffset>3907155</wp:posOffset>
                </wp:positionH>
                <wp:positionV relativeFrom="paragraph">
                  <wp:posOffset>-350520</wp:posOffset>
                </wp:positionV>
                <wp:extent cx="2171700" cy="891540"/>
                <wp:effectExtent l="1905" t="1905" r="0" b="1905"/>
                <wp:wrapNone/>
                <wp:docPr id="193" name="Text Box 882"/>
                <wp:cNvGraphicFramePr/>
                <a:graphic xmlns:a="http://schemas.openxmlformats.org/drawingml/2006/main">
                  <a:graphicData uri="http://schemas.microsoft.com/office/word/2010/wordprocessingShape">
                    <wps:wsp>
                      <wps:cNvSpPr txBox="1">
                        <a:spLocks noChangeArrowheads="1"/>
                      </wps:cNvSpPr>
                      <wps:spPr bwMode="auto">
                        <a:xfrm>
                          <a:off x="0" y="0"/>
                          <a:ext cx="2171700" cy="891540"/>
                        </a:xfrm>
                        <a:prstGeom prst="rect">
                          <a:avLst/>
                        </a:prstGeom>
                        <a:noFill/>
                        <a:ln>
                          <a:noFill/>
                        </a:ln>
                      </wps:spPr>
                      <wps:txbx>
                        <w:txbxContent>
                          <w:p w14:paraId="4B4CD154">
                            <w:pPr>
                              <w:jc w:val="right"/>
                              <w:rPr>
                                <w:b/>
                                <w:sz w:val="102"/>
                                <w:szCs w:val="96"/>
                              </w:rPr>
                            </w:pPr>
                          </w:p>
                        </w:txbxContent>
                      </wps:txbx>
                      <wps:bodyPr rot="0" vert="horz" wrap="square" lIns="91440" tIns="45720" rIns="91440" bIns="45720" anchor="t" anchorCtr="0" upright="1">
                        <a:noAutofit/>
                      </wps:bodyPr>
                    </wps:wsp>
                  </a:graphicData>
                </a:graphic>
              </wp:anchor>
            </w:drawing>
          </mc:Choice>
          <mc:Fallback>
            <w:pict>
              <v:shape id="Text Box 882" o:spid="_x0000_s1026" o:spt="202" type="#_x0000_t202" style="position:absolute;left:0pt;margin-left:307.65pt;margin-top:-27.6pt;height:70.2pt;width:171pt;z-index:251669504;mso-width-relative:page;mso-height-relative:page;" filled="f" stroked="f" coordsize="21600,21600" o:gfxdata="UEsDBAoAAAAAAIdO4kAAAAAAAAAAAAAAAAAEAAAAZHJzL1BLAwQUAAAACACHTuJA3e1OptcAAAAK&#10;AQAADwAAAGRycy9kb3ducmV2LnhtbE2PwU7DMAyG70i8Q2QkblvSQcZWmu4A4gpiwKTdssZrKxqn&#10;arK1vD3mxI7+/en352Iz+U6ccYhtIAPZXIFAqoJrqTbw+fEyW4GIyZKzXSA08IMRNuX1VWFzF0Z6&#10;x/M21YJLKObWQJNSn0sZqwa9jfPQI/HuGAZvE49DLd1gRy73nVwotZTetsQXGtvjU4PV9/bkDXy9&#10;Hve7e/VWP3vdj2FSkvxaGnN7k6lHEAmn9A/Dnz6rQ8lOh3AiF0VnYJnpO0YNzLRegGBirR84ORhY&#10;cSDLQl6+UP4CUEsDBBQAAAAIAIdO4kAlkaZkCgIAABgEAAAOAAAAZHJzL2Uyb0RvYy54bWytU8Fu&#10;2zAMvQ/YPwi6L7azdEmMOEXXoMOArhvQ7gMUWY6FWaJGKbGzrx8lp1nWXXrYRZBE6vG9R2p1PZiO&#10;HRR6DbbixSTnTFkJtba7in9/unu34MwHYWvRgVUVPyrPr9dv36x6V6optNDVChmBWF/2ruJtCK7M&#10;Mi9bZYSfgFOWgg2gEYGOuMtqFD2hmy6b5vmHrAesHYJU3tPtZgzyEyK+BhCaRku1Abk3yoYRFVUn&#10;AknyrXaerxPbplEyfG0arwLrKk5KQ1qpCO23cc3WK1HuULhWyxMF8RoKLzQZoS0VPUNtRBBsj/of&#10;KKMlgocmTCSYbBSSHCEVRf7Cm8dWOJW0kNXenU33/w9WPhy+IdM1TcLyPWdWGGr5kxoC+wgDWyym&#10;0aHe+ZISHx2lhoEClJ3UencP8odnFm5bYXfqBhH6VomaGBbxZXbxdMTxEWTbf4GaCol9gAQ0NGii&#10;fWQII3TqzvHcnUhG0uW0mBfznEKSYotlcTVL7ctE+fzaoQ+fFBgWNxVH6n5CF4d7HyIbUT6nxGIW&#10;7nTXpQno7F8XlBhvEvtIeKQehu1wcmML9ZF0IIwDRd+JNi3gL856GqaK+597gYqz7rMlL5bFjMiy&#10;kA6zq/mUDngZ2V5GhJUEVfHA2bi9DePE7h3qXUuVRvct3JB/jU7SotEjqxNvGpik+DTccSIvzynr&#10;z4de/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d7U6m1wAAAAoBAAAPAAAAAAAAAAEAIAAAACIA&#10;AABkcnMvZG93bnJldi54bWxQSwECFAAUAAAACACHTuJAJZGmZAoCAAAYBAAADgAAAAAAAAABACAA&#10;AAAmAQAAZHJzL2Uyb0RvYy54bWxQSwUGAAAAAAYABgBZAQAAogUAAAAA&#10;">
                <v:fill on="f" focussize="0,0"/>
                <v:stroke on="f"/>
                <v:imagedata o:title=""/>
                <o:lock v:ext="edit" aspectratio="f"/>
                <v:textbox>
                  <w:txbxContent>
                    <w:p w14:paraId="4B4CD154">
                      <w:pPr>
                        <w:jc w:val="right"/>
                        <w:rPr>
                          <w:b/>
                          <w:sz w:val="102"/>
                          <w:szCs w:val="96"/>
                        </w:rPr>
                      </w:pPr>
                    </w:p>
                  </w:txbxContent>
                </v:textbox>
              </v:shape>
            </w:pict>
          </mc:Fallback>
        </mc:AlternateContent>
      </w:r>
      <w:r>
        <w:rPr>
          <w:rFonts w:hint="default" w:ascii="Times New Roman" w:hAnsi="Times New Roman" w:eastAsia="方正书宋简体" w:cs="Times New Roman"/>
          <w:bCs/>
          <w:color w:val="auto"/>
          <w:szCs w:val="21"/>
          <w:highlight w:val="none"/>
        </w:rPr>
        <mc:AlternateContent>
          <mc:Choice Requires="wps">
            <w:drawing>
              <wp:anchor distT="0" distB="0" distL="114300" distR="114300" simplePos="0" relativeHeight="251668480" behindDoc="0" locked="0" layoutInCell="1" allowOverlap="1">
                <wp:simplePos x="0" y="0"/>
                <wp:positionH relativeFrom="column">
                  <wp:posOffset>403860</wp:posOffset>
                </wp:positionH>
                <wp:positionV relativeFrom="paragraph">
                  <wp:posOffset>-712470</wp:posOffset>
                </wp:positionV>
                <wp:extent cx="5541010" cy="683895"/>
                <wp:effectExtent l="13335" t="11430" r="8255" b="9525"/>
                <wp:wrapNone/>
                <wp:docPr id="192" name="Rectangle 881"/>
                <wp:cNvGraphicFramePr/>
                <a:graphic xmlns:a="http://schemas.openxmlformats.org/drawingml/2006/main">
                  <a:graphicData uri="http://schemas.microsoft.com/office/word/2010/wordprocessingShape">
                    <wps:wsp>
                      <wps:cNvSpPr>
                        <a:spLocks noChangeArrowheads="1"/>
                      </wps:cNvSpPr>
                      <wps:spPr bwMode="auto">
                        <a:xfrm>
                          <a:off x="0" y="0"/>
                          <a:ext cx="5541010" cy="683895"/>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Rectangle 881" o:spid="_x0000_s1026" o:spt="1" style="position:absolute;left:0pt;margin-left:31.8pt;margin-top:-56.1pt;height:53.85pt;width:436.3pt;z-index:251668480;mso-width-relative:page;mso-height-relative:page;" fillcolor="#FFFFFF" filled="t" stroked="t" coordsize="21600,21600" o:gfxdata="UEsDBAoAAAAAAIdO4kAAAAAAAAAAAAAAAAAEAAAAZHJzL1BLAwQUAAAACACHTuJArGARydcAAAAK&#10;AQAADwAAAGRycy9kb3ducmV2LnhtbE2Py07DMBBF90j8gzVI7FonaYkgxKlECWLDohTYT+0hifAj&#10;it0XX8+wgt08ju6cqVcnZ8WBpjgEryCfZyDI62AG3yl4f3ua3YKICb1BGzwpOFOEVXN5UWNlwtG/&#10;0mGbOsEhPlaooE9prKSMuieHcR5G8rz7DJPDxO3USTPhkcOdlUWWldLh4PlCjyOte9Jf271TsEF8&#10;3Hw/a/3Qnl+WLa0/WgpWqeurPLsHkeiU/mD41Wd1aNhpF/beRGEVlIuSSQWzPC8KEEzcLUoudjxa&#10;3oBsavn/heYHUEsDBBQAAAAIAIdO4kB4Paj4JgIAAHYEAAAOAAAAZHJzL2Uyb0RvYy54bWytVMGO&#10;2jAQvVfqP1i+lwAlW4gIqxWIqtK2XXXbDzCOQ6zaHndsCPTrO3GAstsLh+YQeTLj5/fejDO/P1jD&#10;9gqDBlfy0WDImXISKu22Jf/xff1uylmIwlXCgFMlP6rA7xdv38xbX6gxNGAqhYxAXChaX/ImRl9k&#10;WZCNsiIMwCtHyRrQikghbrMKRUvo1mTj4fAuawErjyBVCPR11Sf5CRFvAYS61lKtQO6scrFHRWVE&#10;JEmh0T7wRWJb10rGr3UdVGSm5KQ0pjcdQutN984Wc1FsUfhGyxMFcQuFV5qs0I4OvUCtRBRsh/of&#10;KKslQoA6DiTYrBeSHCEVo+Erb54b4VXSQlYHfzE9/D9Y+WX/hExXNAmzMWdOWGr5N7JNuK1RbDod&#10;dRa1PhRU+eyfsBMZ/CPIn4E5WDZUpx4QoW2UqIhYqs9ebOiCQFvZpv0MFeGLXYTk1qFG2wGSD+yQ&#10;mnK8NEUdIpP0Mc8nI7KGM0m5u+n76SzvKGWiOO/2GOJHBZZ1i5IjsU/oYv8YYl96LknswehqrY1J&#10;AW43S4NsL2hA1uk5oYfrMuNYW/JZPs4T8otcuA3C6kj3xmhb8umwe07nGEdizhb1Vm+gOpJdCP24&#10;0mWlRQP4m7OWRrXk4ddOoOLMfHJk+Ww0mXSznYJJ/mFMAV5nNtcZ4SRBlTxy1i+Xsb8PO49629BJ&#10;o6TRwQO1qdbJwY5fz+pElsYx9eB0dbp5v45T1d/fxeI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rGARydcAAAAKAQAADwAAAAAAAAABACAAAAAiAAAAZHJzL2Rvd25yZXYueG1sUEsBAhQAFAAAAAgA&#10;h07iQHg9qPgmAgAAdgQAAA4AAAAAAAAAAQAgAAAAJgEAAGRycy9lMm9Eb2MueG1sUEsFBgAAAAAG&#10;AAYAWQEAAL4FAAAAAA==&#10;">
                <v:fill on="t" focussize="0,0"/>
                <v:stroke color="#FFFFFF" miterlimit="8" joinstyle="miter"/>
                <v:imagedata o:title=""/>
                <o:lock v:ext="edit" aspectratio="f"/>
              </v:rect>
            </w:pict>
          </mc:Fallback>
        </mc:AlternateContent>
      </w:r>
      <w:r>
        <w:rPr>
          <w:rFonts w:hint="default" w:ascii="Times New Roman" w:hAnsi="Times New Roman" w:eastAsia="方正书宋简体" w:cs="Times New Roman"/>
          <w:bCs/>
          <w:color w:val="auto"/>
          <w:szCs w:val="21"/>
          <w:highlight w:val="none"/>
        </w:rPr>
        <mc:AlternateContent>
          <mc:Choice Requires="wps">
            <w:drawing>
              <wp:anchor distT="0" distB="0" distL="114300" distR="114300" simplePos="0" relativeHeight="251667456" behindDoc="0" locked="0" layoutInCell="1" allowOverlap="1">
                <wp:simplePos x="0" y="0"/>
                <wp:positionH relativeFrom="column">
                  <wp:posOffset>-214630</wp:posOffset>
                </wp:positionH>
                <wp:positionV relativeFrom="paragraph">
                  <wp:posOffset>-407670</wp:posOffset>
                </wp:positionV>
                <wp:extent cx="1681480" cy="371475"/>
                <wp:effectExtent l="13970" t="11430" r="9525" b="7620"/>
                <wp:wrapNone/>
                <wp:docPr id="191" name="Rectangle 880"/>
                <wp:cNvGraphicFramePr/>
                <a:graphic xmlns:a="http://schemas.openxmlformats.org/drawingml/2006/main">
                  <a:graphicData uri="http://schemas.microsoft.com/office/word/2010/wordprocessingShape">
                    <wps:wsp>
                      <wps:cNvSpPr>
                        <a:spLocks noChangeArrowheads="1"/>
                      </wps:cNvSpPr>
                      <wps:spPr bwMode="auto">
                        <a:xfrm>
                          <a:off x="0" y="0"/>
                          <a:ext cx="1681480" cy="371475"/>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Rectangle 880" o:spid="_x0000_s1026" o:spt="1" style="position:absolute;left:0pt;margin-left:-16.9pt;margin-top:-32.1pt;height:29.25pt;width:132.4pt;z-index:251667456;mso-width-relative:page;mso-height-relative:page;" fillcolor="#FFFFFF" filled="t" stroked="t" coordsize="21600,21600" o:gfxdata="UEsDBAoAAAAAAIdO4kAAAAAAAAAAAAAAAAAEAAAAZHJzL1BLAwQUAAAACACHTuJA0zxX8dcAAAAK&#10;AQAADwAAAGRycy9kb3ducmV2LnhtbE2PS0/DMBCE70j8B2uRuLXOoxQU4lSiBHHhUArct/aSRPgR&#10;xe6LX89ygtvuzmj2m3p1clYcaIpD8AryeQaCvA5m8J2C97en2R2ImNAbtMGTgjNFWDWXFzVWJhz9&#10;Kx22qRMc4mOFCvqUxkrKqHtyGOdhJM/aZ5gcJl6nTpoJjxzurCyybCkdDp4/9DjSuif9td07BRvE&#10;x833s9YP7fll0dL6o6Vglbq+yrN7EIlO6c8Mv/iMDg0z7cLemyisgllZMnriYbkoQLCjKHNut+PL&#10;zS3Ippb/KzQ/UEsDBBQAAAAIAIdO4kCisnXcKAIAAHYEAAAOAAAAZHJzL2Uyb0RvYy54bWytVMGO&#10;2jAQvVfqP1i+lxAKuxARVisQVaVtu+q2H2Ach1i1Pe7YEOjXd2KyLLu9cGgOlsczfvPmeSbzu4M1&#10;bK8waHAlzwdDzpSTUGm3LfnPH+sPU85CFK4SBpwq+VEFfrd4/27e+kKNoAFTKWQE4kLR+pI3Mfoi&#10;y4JslBVhAF45ctaAVkQycZtVKFpCtyYbDYc3WQtYeQSpQqDT1cnJe0S8BhDqWku1ArmzysUTKioj&#10;IpUUGu0DXyS2da1k/FbXQUVmSk6VxrRSEtpvujVbzEWxReEbLXsK4hoKb2qyQjtKeoZaiSjYDvU/&#10;UFZLhAB1HEiw2amQpAhVkQ/faPPUCK9SLSR18GfRw/+DlV/3j8h0RZ0wyzlzwtKTfyfZhNsaxabT&#10;JFHrQ0GRT/4RuyKDfwD5KzAHy4bi1D0itI0SFRHLO0mzVxc6I9BVtmm/QEX4YhchqXWo0XaApAM7&#10;pEc5nh9FHSKTdJjfTPMx0WCSfB9v8/HtJKUQxfNtjyF+UmBZtyk5EvuELvYPIXZsRPEcktiD0dVa&#10;G5MM3G6WBtleUIOs09ejh8sw41hb8tlkNEnIr3zhOgirI82N0bbk02H39XmM6/XqJOr6NhQbqI4k&#10;F8KpXWlYadMA/uGspVYtefi9E6g4M58dST7Lx+Out5MxntyOyMBLz+bSI5wkqJJHzk7bZTzNw86j&#10;3jaUKU81OrinZ6p1UvCFVU+W2jEJ249O1++Xdop6+V0s/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TPFfx1wAAAAoBAAAPAAAAAAAAAAEAIAAAACIAAABkcnMvZG93bnJldi54bWxQSwECFAAUAAAA&#10;CACHTuJAorJ13CgCAAB2BAAADgAAAAAAAAABACAAAAAmAQAAZHJzL2Uyb0RvYy54bWxQSwUGAAAA&#10;AAYABgBZAQAAwAUAAAAA&#10;">
                <v:fill on="t" focussize="0,0"/>
                <v:stroke color="#FFFFFF" miterlimit="8" joinstyle="miter"/>
                <v:imagedata o:title=""/>
                <o:lock v:ext="edit" aspectratio="f"/>
              </v:rect>
            </w:pict>
          </mc:Fallback>
        </mc:AlternateContent>
      </w:r>
      <w:r>
        <w:rPr>
          <w:rFonts w:hint="default" w:ascii="Times New Roman" w:hAnsi="Times New Roman" w:eastAsia="方正书宋简体" w:cs="Times New Roman"/>
          <w:bCs/>
          <w:color w:val="auto"/>
          <w:szCs w:val="21"/>
          <w:highlight w:val="none"/>
        </w:rPr>
        <mc:AlternateContent>
          <mc:Choice Requires="wps">
            <w:drawing>
              <wp:anchor distT="0" distB="0" distL="114300" distR="114300" simplePos="0" relativeHeight="251666432" behindDoc="0" locked="0" layoutInCell="1" allowOverlap="1">
                <wp:simplePos x="0" y="0"/>
                <wp:positionH relativeFrom="column">
                  <wp:posOffset>3902710</wp:posOffset>
                </wp:positionH>
                <wp:positionV relativeFrom="paragraph">
                  <wp:posOffset>-377190</wp:posOffset>
                </wp:positionV>
                <wp:extent cx="2114550" cy="354330"/>
                <wp:effectExtent l="6985" t="13335" r="12065" b="13335"/>
                <wp:wrapNone/>
                <wp:docPr id="190" name="Rectangle 879"/>
                <wp:cNvGraphicFramePr/>
                <a:graphic xmlns:a="http://schemas.openxmlformats.org/drawingml/2006/main">
                  <a:graphicData uri="http://schemas.microsoft.com/office/word/2010/wordprocessingShape">
                    <wps:wsp>
                      <wps:cNvSpPr>
                        <a:spLocks noChangeArrowheads="1"/>
                      </wps:cNvSpPr>
                      <wps:spPr bwMode="auto">
                        <a:xfrm>
                          <a:off x="0" y="0"/>
                          <a:ext cx="2114550" cy="354330"/>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Rectangle 879" o:spid="_x0000_s1026" o:spt="1" style="position:absolute;left:0pt;margin-left:307.3pt;margin-top:-29.7pt;height:27.9pt;width:166.5pt;z-index:251666432;mso-width-relative:page;mso-height-relative:page;" fillcolor="#FFFFFF" filled="t" stroked="t" coordsize="21600,21600" o:gfxdata="UEsDBAoAAAAAAIdO4kAAAAAAAAAAAAAAAAAEAAAAZHJzL1BLAwQUAAAACACHTuJATrGwK9cAAAAK&#10;AQAADwAAAGRycy9kb3ducmV2LnhtbE2Py07DMBBF90j8gzVI7FonEAINcSpRgtiwKAX2U3tIIvyI&#10;YvfF1zOsYDl3ju6cqZdHZ8WepjgEryCfZyDI62AG3yl4f3ua3YGICb1BGzwpOFGEZXN+VmNlwsG/&#10;0n6TOsElPlaooE9prKSMuieHcR5G8rz7DJPDxOPUSTPhgcudlVdZVkqHg+cLPY606kl/bXZOwRrx&#10;cf39rPVDe3opWlp9tBSsUpcXeXYPItEx/cHwq8/q0LDTNuy8icIqKPOiZFTB7GZRgGBiUdxysuXk&#10;ugTZ1PL/C80PUEsDBBQAAAAIAIdO4kAWLW0sKgIAAHYEAAAOAAAAZHJzL2Uyb0RvYy54bWytVMFu&#10;2zAMvQ/YPwi6L47TZE2MOkXRIsOAbi3W7QMUWY6FSaJGKXG6rx8lp1naXXKYD4ZoUk/vPVK+ut5b&#10;w3YKgwZX83I05kw5CY12m5r/+L76MOcsROEaYcCpmj+rwK+X799d9b5SE+jANAoZgbhQ9b7mXYy+&#10;KoogO2VFGIFXjpItoBWRQtwUDYqe0K0pJuPxx6IHbDyCVCHQ17shyQ+IeA4gtK2W6g7k1ioXB1RU&#10;RkSSFDrtA19mtm2rZHxo26AiMzUnpTG/6RBar9O7WF6JaoPCd1oeKIhzKLzRZIV2dOgR6k5Ewbao&#10;/4GyWiIEaONIgi0GIdkRUlGO33jz1AmvshayOvij6eH/wcqvu0dkuqFJWJAnTlhq+TeyTbiNUWx+&#10;uUgW9T5UVPnkHzGJDP4e5M/AHNx2VKduEKHvlGiIWJnqi1cbUhBoK1v3X6AhfLGNkN3at2gTIPnA&#10;9rkpz8emqH1kkj5OynI6mxE3SbmL2fTiInetENXLbo8hflJgWVrUHIl9Rhe7+xATG1G9lGT2YHSz&#10;0sbkADfrW4NsJ2hAVvnJAkjkaZlxrK/5YjaZZeRXuXAehNWR7o3RtubzcXoO5xh38CtZNFi9huaZ&#10;7EIYxpUuKy06wN+c9TSqNQ+/tgIVZ+azI8sX5XSaZjsH09nlhAI8zaxPM8JJgqp55GxY3sbhPmw9&#10;6k1HJ5VZo4MbalOrs4OphQOrA1kax2zs4eqkeT+Nc9Xf38Xy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6xsCvXAAAACgEAAA8AAAAAAAAAAQAgAAAAIgAAAGRycy9kb3ducmV2LnhtbFBLAQIUABQA&#10;AAAIAIdO4kAWLW0sKgIAAHYEAAAOAAAAAAAAAAEAIAAAACYBAABkcnMvZTJvRG9jLnhtbFBLBQYA&#10;AAAABgAGAFkBAADCBQAAAAA=&#10;">
                <v:fill on="t" focussize="0,0"/>
                <v:stroke color="#FFFFFF" miterlimit="8" joinstyle="miter"/>
                <v:imagedata o:title=""/>
                <o:lock v:ext="edit" aspectratio="f"/>
              </v:rect>
            </w:pict>
          </mc:Fallback>
        </mc:AlternateContent>
      </w:r>
    </w:p>
    <w:p w14:paraId="63B6B198">
      <w:pPr>
        <w:spacing w:line="140" w:lineRule="exact"/>
        <w:rPr>
          <w:rFonts w:hint="default" w:ascii="Times New Roman" w:hAnsi="Times New Roman" w:eastAsia="方正黑体简体" w:cs="Times New Roman"/>
          <w:bCs/>
          <w:color w:val="auto"/>
          <w:highlight w:val="none"/>
        </w:rPr>
      </w:pPr>
    </w:p>
    <w:p w14:paraId="492AE540">
      <w:pPr>
        <w:spacing w:line="140" w:lineRule="exact"/>
        <w:rPr>
          <w:rFonts w:hint="default" w:ascii="Times New Roman" w:hAnsi="Times New Roman" w:eastAsia="方正黑体简体" w:cs="Times New Roman"/>
          <w:bCs/>
          <w:color w:val="auto"/>
          <w:highlight w:val="none"/>
        </w:rPr>
      </w:pPr>
    </w:p>
    <w:p w14:paraId="3CA7B4FC">
      <w:pPr>
        <w:spacing w:line="140" w:lineRule="exact"/>
        <w:rPr>
          <w:rFonts w:hint="default" w:ascii="Times New Roman" w:hAnsi="Times New Roman" w:eastAsia="方正黑体简体" w:cs="Times New Roman"/>
          <w:bCs/>
          <w:color w:val="auto"/>
          <w:highlight w:val="none"/>
        </w:rPr>
      </w:pPr>
    </w:p>
    <w:p w14:paraId="17C52CF0">
      <w:pPr>
        <w:spacing w:before="24"/>
        <w:ind w:right="109"/>
        <w:jc w:val="center"/>
        <w:outlineLvl w:val="9"/>
        <w:rPr>
          <w:rFonts w:hint="default" w:ascii="Times New Roman" w:hAnsi="Times New Roman" w:eastAsia="方正小标宋_GBK" w:cs="Times New Roman"/>
          <w:color w:val="auto"/>
          <w:w w:val="120"/>
          <w:sz w:val="52"/>
          <w:szCs w:val="52"/>
          <w:highlight w:val="none"/>
        </w:rPr>
      </w:pPr>
      <w:r>
        <w:rPr>
          <w:rFonts w:hint="default" w:ascii="Times New Roman" w:hAnsi="Times New Roman" w:eastAsia="方正小标宋_GBK" w:cs="Times New Roman"/>
          <w:color w:val="auto"/>
          <w:w w:val="120"/>
          <w:sz w:val="52"/>
          <w:szCs w:val="52"/>
          <w:highlight w:val="none"/>
        </w:rPr>
        <w:t>安徽省地方计量技术规范</w:t>
      </w:r>
    </w:p>
    <w:p w14:paraId="5F902C26">
      <w:pPr>
        <w:spacing w:line="340" w:lineRule="exact"/>
        <w:rPr>
          <w:rFonts w:hint="default" w:ascii="Times New Roman" w:hAnsi="Times New Roman" w:eastAsia="方正黑体简体" w:cs="Times New Roman"/>
          <w:bCs/>
          <w:color w:val="auto"/>
          <w:highlight w:val="none"/>
        </w:rPr>
      </w:pPr>
    </w:p>
    <w:p w14:paraId="3E3DA7EE">
      <w:pPr>
        <w:spacing w:line="140" w:lineRule="exact"/>
        <w:rPr>
          <w:rFonts w:hint="default" w:ascii="Times New Roman" w:hAnsi="Times New Roman" w:eastAsia="方正黑体简体" w:cs="Times New Roman"/>
          <w:bCs/>
          <w:color w:val="auto"/>
          <w:sz w:val="28"/>
          <w:szCs w:val="28"/>
          <w:highlight w:val="none"/>
        </w:rPr>
      </w:pPr>
    </w:p>
    <w:p w14:paraId="60DEB9C9">
      <w:pPr>
        <w:spacing w:line="340" w:lineRule="exact"/>
        <w:ind w:firstLine="6001" w:firstLineChars="2135"/>
        <w:outlineLvl w:val="9"/>
        <w:rPr>
          <w:rFonts w:hint="default" w:ascii="Times New Roman" w:hAnsi="Times New Roman" w:eastAsia="黑体" w:cs="Times New Roman"/>
          <w:bCs/>
          <w:color w:val="auto"/>
          <w:sz w:val="28"/>
          <w:szCs w:val="28"/>
          <w:highlight w:val="none"/>
          <w:lang w:val="en-US" w:eastAsia="zh-CN"/>
        </w:rPr>
      </w:pPr>
      <w:r>
        <w:rPr>
          <w:rFonts w:hint="default" w:ascii="Times New Roman" w:hAnsi="Times New Roman" w:eastAsia="黑体" w:cs="Times New Roman"/>
          <w:b/>
          <w:bCs/>
          <w:color w:val="auto"/>
          <w:sz w:val="28"/>
          <w:szCs w:val="28"/>
          <w:highlight w:val="none"/>
        </w:rPr>
        <w:t>JJF</w:t>
      </w:r>
      <w:r>
        <w:rPr>
          <w:rFonts w:hint="default" w:ascii="Times New Roman" w:hAnsi="Times New Roman" w:eastAsia="黑体" w:cs="Times New Roman"/>
          <w:bCs/>
          <w:color w:val="auto"/>
          <w:sz w:val="28"/>
          <w:szCs w:val="28"/>
          <w:highlight w:val="none"/>
        </w:rPr>
        <w:t>（皖）</w:t>
      </w:r>
      <w:r>
        <w:rPr>
          <w:rFonts w:hint="default" w:ascii="Times New Roman" w:hAnsi="Times New Roman" w:eastAsia="黑体" w:cs="Times New Roman"/>
          <w:b/>
          <w:bCs/>
          <w:color w:val="auto"/>
          <w:sz w:val="28"/>
          <w:szCs w:val="28"/>
          <w:highlight w:val="none"/>
        </w:rPr>
        <w:t>XXX</w:t>
      </w:r>
      <w:r>
        <w:rPr>
          <w:rFonts w:hint="default" w:ascii="Times New Roman" w:hAnsi="Times New Roman" w:eastAsia="黑体" w:cs="Times New Roman"/>
          <w:bCs/>
          <w:color w:val="auto"/>
          <w:sz w:val="28"/>
          <w:szCs w:val="28"/>
          <w:highlight w:val="none"/>
        </w:rPr>
        <w:t>－</w:t>
      </w:r>
      <w:r>
        <w:rPr>
          <w:rFonts w:hint="default" w:ascii="Times New Roman" w:hAnsi="Times New Roman" w:eastAsia="黑体" w:cs="Times New Roman"/>
          <w:b/>
          <w:bCs/>
          <w:color w:val="auto"/>
          <w:sz w:val="28"/>
          <w:szCs w:val="28"/>
          <w:highlight w:val="none"/>
        </w:rPr>
        <w:t>202</w:t>
      </w:r>
      <w:r>
        <w:rPr>
          <w:rFonts w:hint="eastAsia" w:eastAsia="黑体" w:cs="Times New Roman"/>
          <w:b/>
          <w:bCs/>
          <w:color w:val="auto"/>
          <w:sz w:val="28"/>
          <w:szCs w:val="28"/>
          <w:highlight w:val="none"/>
          <w:lang w:val="en-US" w:eastAsia="zh-CN"/>
        </w:rPr>
        <w:t>5</w:t>
      </w:r>
    </w:p>
    <w:p w14:paraId="75375E52">
      <w:pPr>
        <w:spacing w:line="340" w:lineRule="exact"/>
        <w:ind w:firstLine="6440" w:firstLineChars="2300"/>
        <w:outlineLvl w:val="9"/>
        <w:rPr>
          <w:rFonts w:hint="default" w:ascii="Times New Roman" w:hAnsi="Times New Roman" w:eastAsia="黑体" w:cs="Times New Roman"/>
          <w:bCs/>
          <w:color w:val="auto"/>
          <w:sz w:val="28"/>
          <w:szCs w:val="28"/>
          <w:highlight w:val="none"/>
        </w:rPr>
      </w:pPr>
    </w:p>
    <w:p w14:paraId="79761371">
      <w:pPr>
        <w:spacing w:line="340" w:lineRule="exact"/>
        <w:rPr>
          <w:rFonts w:hint="default" w:ascii="Times New Roman" w:hAnsi="Times New Roman" w:eastAsia="方正黑体简体" w:cs="Times New Roman"/>
          <w:bCs/>
          <w:color w:val="auto"/>
          <w:sz w:val="50"/>
          <w:szCs w:val="50"/>
          <w:highlight w:val="none"/>
        </w:rPr>
      </w:pPr>
      <w:r>
        <w:rPr>
          <w:rFonts w:hint="default" w:ascii="Times New Roman" w:hAnsi="Times New Roman" w:eastAsia="方正小标宋简体" w:cs="Times New Roman"/>
          <w:bCs/>
          <w:color w:val="auto"/>
          <w:w w:val="90"/>
          <w:sz w:val="35"/>
          <w:highlight w:val="none"/>
        </w:rPr>
        <mc:AlternateContent>
          <mc:Choice Requires="wps">
            <w:drawing>
              <wp:anchor distT="0" distB="0" distL="114300" distR="114300" simplePos="0" relativeHeight="251664384" behindDoc="0" locked="0" layoutInCell="1" allowOverlap="1">
                <wp:simplePos x="0" y="0"/>
                <wp:positionH relativeFrom="column">
                  <wp:posOffset>-87630</wp:posOffset>
                </wp:positionH>
                <wp:positionV relativeFrom="paragraph">
                  <wp:posOffset>132715</wp:posOffset>
                </wp:positionV>
                <wp:extent cx="6120130" cy="0"/>
                <wp:effectExtent l="8890" t="13970" r="5080" b="5080"/>
                <wp:wrapNone/>
                <wp:docPr id="189" name="Line 87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877" o:spid="_x0000_s1026" o:spt="20" style="position:absolute;left:0pt;margin-left:-6.9pt;margin-top:10.45pt;height:0pt;width:481.9pt;z-index:251664384;mso-width-relative:page;mso-height-relative:page;" filled="f" stroked="t" coordsize="21600,21600" o:gfxdata="UEsDBAoAAAAAAIdO4kAAAAAAAAAAAAAAAAAEAAAAZHJzL1BLAwQUAAAACACHTuJASSq2ZNYAAAAJ&#10;AQAADwAAAGRycy9kb3ducmV2LnhtbE2PzU7DMBCE70i8g7VIXKrWTioQDXF6AHLjQgFx3cZLEhGv&#10;09j9gadnEQc4zs5o9ptyffKDOtAU+8AWsoUBRdwE13Nr4eW5nt+AignZ4RCYLHxShHV1flZi4cKR&#10;n+iwSa2SEo4FWuhSGgutY9ORx7gII7F472HymEROrXYTHqXcDzo35lp77Fk+dDjSXUfNx2bvLcT6&#10;lXb116yZmbdlGyjf3T8+oLWXF5m5BZXolP7C8IMv6FAJ0zbs2UU1WJhnS0FPFnKzAiWB1ZWRcdvf&#10;g65K/X9B9Q1QSwMEFAAAAAgAh07iQHPKD5bMAQAAowMAAA4AAABkcnMvZTJvRG9jLnhtbK1TwW7b&#10;MAy9D9g/CLovTjK0TY04PSToLtkWoN0HKLJsC5NEQVRi5+9HyUnatZce6oMgiuQj3yO9fBisYUcV&#10;UIOr+Gwy5Uw5CbV2bcX/PD9+W3CGUbhaGHCq4ieF/GH19cuy96WaQwemVoERiMOy9xXvYvRlUaDs&#10;lBU4Aa8cORsIVkQyQ1vUQfSEbk0xn05vix5C7QNIhUivm9HJz4jhI4DQNFqqDciDVS6OqEEZEYkS&#10;dtojX+Vum0bJ+LtpUEVmKk5MYz6pCN336SxWS1G2QfhOy3ML4iMtvOFkhXZU9Aq1EVGwQ9DvoKyW&#10;ARCaOJFgi5FIVoRYzKZvtHnqhFeZC0mN/io6fh6s/HXcBaZr2oTFPWdOWBr5VjvFFnd3SZ3eY0lB&#10;a7cLiZ8c3JPfgvyLzMG6E65Vucvnk6fEWcoo/ktJBnqqse9/Qk0x4hAhSzU0wSZIEoENeSKn60TU&#10;EJmkx9sZyfKdhiUvvkKUl0QfMP5QYFm6VNxQ1xlYHLcYUyOivISkOg4etTF54MaxvuL3N/ObnIBg&#10;dJ2cKQxDu1+bwI4irUz+MivyvA4LcHD1WMS4M+nEc1RsD/VpFy5i0OxyN+c9S8vx2s7ZL//W6h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JKrZk1gAAAAkBAAAPAAAAAAAAAAEAIAAAACIAAABkcnMv&#10;ZG93bnJldi54bWxQSwECFAAUAAAACACHTuJAc8oPlswBAACjAwAADgAAAAAAAAABACAAAAAlAQAA&#10;ZHJzL2Uyb0RvYy54bWxQSwUGAAAAAAYABgBZAQAAYwUAAAAA&#10;">
                <v:fill on="f" focussize="0,0"/>
                <v:stroke color="#000000" joinstyle="round"/>
                <v:imagedata o:title=""/>
                <o:lock v:ext="edit" aspectratio="f"/>
              </v:line>
            </w:pict>
          </mc:Fallback>
        </mc:AlternateContent>
      </w:r>
    </w:p>
    <w:p w14:paraId="01F095B6">
      <w:pPr>
        <w:spacing w:line="300" w:lineRule="exact"/>
        <w:jc w:val="center"/>
        <w:rPr>
          <w:rFonts w:hint="default" w:ascii="Times New Roman" w:hAnsi="Times New Roman" w:eastAsia="方正黑体简体" w:cs="Times New Roman"/>
          <w:bCs/>
          <w:color w:val="auto"/>
          <w:sz w:val="48"/>
          <w:szCs w:val="52"/>
          <w:highlight w:val="none"/>
        </w:rPr>
      </w:pPr>
    </w:p>
    <w:p w14:paraId="37569AEF">
      <w:pPr>
        <w:spacing w:line="300" w:lineRule="exact"/>
        <w:jc w:val="center"/>
        <w:rPr>
          <w:rFonts w:hint="default" w:ascii="Times New Roman" w:hAnsi="Times New Roman" w:eastAsia="方正黑体简体" w:cs="Times New Roman"/>
          <w:bCs/>
          <w:color w:val="auto"/>
          <w:sz w:val="48"/>
          <w:szCs w:val="52"/>
          <w:highlight w:val="none"/>
        </w:rPr>
      </w:pPr>
    </w:p>
    <w:p w14:paraId="3067DEB1">
      <w:pPr>
        <w:spacing w:line="300" w:lineRule="exact"/>
        <w:jc w:val="center"/>
        <w:rPr>
          <w:rFonts w:hint="default" w:ascii="Times New Roman" w:hAnsi="Times New Roman" w:eastAsia="方正黑体简体" w:cs="Times New Roman"/>
          <w:bCs/>
          <w:color w:val="auto"/>
          <w:sz w:val="48"/>
          <w:szCs w:val="52"/>
          <w:highlight w:val="none"/>
        </w:rPr>
      </w:pPr>
    </w:p>
    <w:p w14:paraId="611A5944">
      <w:pPr>
        <w:spacing w:line="300" w:lineRule="exact"/>
        <w:jc w:val="center"/>
        <w:rPr>
          <w:rFonts w:hint="default" w:ascii="Times New Roman" w:hAnsi="Times New Roman" w:eastAsia="方正黑体简体" w:cs="Times New Roman"/>
          <w:bCs/>
          <w:color w:val="auto"/>
          <w:sz w:val="48"/>
          <w:szCs w:val="52"/>
          <w:highlight w:val="none"/>
        </w:rPr>
      </w:pPr>
    </w:p>
    <w:p w14:paraId="651CAB6B">
      <w:pPr>
        <w:spacing w:line="300" w:lineRule="exact"/>
        <w:jc w:val="center"/>
        <w:rPr>
          <w:rFonts w:hint="default" w:ascii="Times New Roman" w:hAnsi="Times New Roman" w:eastAsia="方正黑体简体" w:cs="Times New Roman"/>
          <w:bCs/>
          <w:color w:val="auto"/>
          <w:sz w:val="48"/>
          <w:szCs w:val="52"/>
          <w:highlight w:val="none"/>
        </w:rPr>
      </w:pPr>
    </w:p>
    <w:p w14:paraId="5AAC6A9B">
      <w:pPr>
        <w:spacing w:line="300" w:lineRule="exact"/>
        <w:jc w:val="center"/>
        <w:rPr>
          <w:rFonts w:hint="default" w:ascii="Times New Roman" w:hAnsi="Times New Roman" w:eastAsia="方正黑体简体" w:cs="Times New Roman"/>
          <w:bCs/>
          <w:color w:val="auto"/>
          <w:sz w:val="48"/>
          <w:szCs w:val="52"/>
          <w:highlight w:val="none"/>
        </w:rPr>
      </w:pPr>
    </w:p>
    <w:p w14:paraId="172925C1">
      <w:pPr>
        <w:spacing w:line="300" w:lineRule="exact"/>
        <w:jc w:val="center"/>
        <w:rPr>
          <w:rFonts w:hint="default" w:ascii="Times New Roman" w:hAnsi="Times New Roman" w:eastAsia="方正黑体简体" w:cs="Times New Roman"/>
          <w:bCs/>
          <w:color w:val="auto"/>
          <w:sz w:val="48"/>
          <w:szCs w:val="52"/>
          <w:highlight w:val="none"/>
        </w:rPr>
      </w:pPr>
    </w:p>
    <w:p w14:paraId="748D95BB">
      <w:pPr>
        <w:keepNext w:val="0"/>
        <w:keepLines w:val="0"/>
        <w:pageBreakBefore w:val="0"/>
        <w:widowControl w:val="0"/>
        <w:kinsoku/>
        <w:wordWrap/>
        <w:overflowPunct/>
        <w:topLinePunct w:val="0"/>
        <w:autoSpaceDE w:val="0"/>
        <w:autoSpaceDN w:val="0"/>
        <w:bidi w:val="0"/>
        <w:adjustRightInd w:val="0"/>
        <w:snapToGrid/>
        <w:spacing w:line="360" w:lineRule="auto"/>
        <w:ind w:right="113"/>
        <w:jc w:val="center"/>
        <w:textAlignment w:val="auto"/>
        <w:rPr>
          <w:rFonts w:hint="default" w:ascii="Times New Roman" w:hAnsi="Times New Roman" w:eastAsia="黑体" w:cs="Times New Roman"/>
          <w:color w:val="auto"/>
          <w:sz w:val="52"/>
          <w:highlight w:val="none"/>
          <w:lang w:eastAsia="zh-CN"/>
        </w:rPr>
      </w:pPr>
      <w:r>
        <w:rPr>
          <w:rFonts w:hint="eastAsia" w:eastAsia="黑体" w:cs="Times New Roman"/>
          <w:color w:val="auto"/>
          <w:sz w:val="52"/>
          <w:highlight w:val="none"/>
          <w:lang w:eastAsia="zh-CN"/>
        </w:rPr>
        <w:t>“</w:t>
      </w:r>
      <w:r>
        <w:rPr>
          <w:rFonts w:hint="default" w:ascii="Times New Roman" w:hAnsi="Times New Roman" w:eastAsia="黑体" w:cs="Times New Roman"/>
          <w:color w:val="auto"/>
          <w:sz w:val="52"/>
          <w:highlight w:val="none"/>
          <w:lang w:eastAsia="zh-CN"/>
        </w:rPr>
        <w:t>两高</w:t>
      </w:r>
      <w:r>
        <w:rPr>
          <w:rFonts w:hint="eastAsia" w:eastAsia="黑体" w:cs="Times New Roman"/>
          <w:color w:val="auto"/>
          <w:sz w:val="52"/>
          <w:highlight w:val="none"/>
          <w:lang w:eastAsia="zh-CN"/>
        </w:rPr>
        <w:t>”</w:t>
      </w:r>
      <w:r>
        <w:rPr>
          <w:rFonts w:hint="default" w:ascii="Times New Roman" w:hAnsi="Times New Roman" w:eastAsia="黑体" w:cs="Times New Roman"/>
          <w:color w:val="auto"/>
          <w:sz w:val="52"/>
          <w:highlight w:val="none"/>
          <w:lang w:eastAsia="zh-CN"/>
        </w:rPr>
        <w:t>企业监测计量器具</w:t>
      </w:r>
    </w:p>
    <w:p w14:paraId="7F042786">
      <w:pPr>
        <w:keepNext w:val="0"/>
        <w:keepLines w:val="0"/>
        <w:pageBreakBefore w:val="0"/>
        <w:widowControl w:val="0"/>
        <w:kinsoku/>
        <w:wordWrap/>
        <w:overflowPunct/>
        <w:topLinePunct w:val="0"/>
        <w:autoSpaceDE w:val="0"/>
        <w:autoSpaceDN w:val="0"/>
        <w:bidi w:val="0"/>
        <w:adjustRightInd w:val="0"/>
        <w:snapToGrid/>
        <w:spacing w:line="360" w:lineRule="auto"/>
        <w:ind w:right="113"/>
        <w:jc w:val="center"/>
        <w:textAlignment w:val="auto"/>
        <w:rPr>
          <w:rFonts w:hint="default" w:ascii="Times New Roman" w:hAnsi="Times New Roman" w:eastAsia="黑体" w:cs="Times New Roman"/>
          <w:color w:val="auto"/>
          <w:sz w:val="52"/>
          <w:highlight w:val="none"/>
          <w:lang w:val="en-US" w:eastAsia="zh-CN"/>
        </w:rPr>
      </w:pPr>
      <w:r>
        <w:rPr>
          <w:rFonts w:hint="default" w:ascii="Times New Roman" w:hAnsi="Times New Roman" w:eastAsia="黑体" w:cs="Times New Roman"/>
          <w:color w:val="auto"/>
          <w:sz w:val="52"/>
          <w:highlight w:val="none"/>
          <w:lang w:eastAsia="zh-CN"/>
        </w:rPr>
        <w:t>配备和管理</w:t>
      </w:r>
      <w:r>
        <w:rPr>
          <w:rFonts w:hint="default" w:ascii="Times New Roman" w:hAnsi="Times New Roman" w:eastAsia="黑体" w:cs="Times New Roman"/>
          <w:color w:val="auto"/>
          <w:sz w:val="52"/>
          <w:highlight w:val="none"/>
          <w:lang w:val="en-US" w:eastAsia="zh-CN"/>
        </w:rPr>
        <w:t>通则</w:t>
      </w:r>
    </w:p>
    <w:p w14:paraId="19C9E07B">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cs="Times New Roman"/>
          <w:b/>
          <w:color w:val="auto"/>
          <w:sz w:val="28"/>
          <w:szCs w:val="28"/>
          <w:highlight w:val="none"/>
        </w:rPr>
      </w:pPr>
      <w:r>
        <w:rPr>
          <w:rFonts w:hint="default" w:ascii="Times New Roman" w:hAnsi="Times New Roman" w:cs="Times New Roman"/>
          <w:b/>
          <w:color w:val="auto"/>
          <w:sz w:val="28"/>
          <w:szCs w:val="28"/>
          <w:highlight w:val="none"/>
        </w:rPr>
        <w:t xml:space="preserve"> </w:t>
      </w:r>
      <w:r>
        <w:rPr>
          <w:rFonts w:hint="eastAsia" w:ascii="黑体" w:hAnsi="黑体" w:eastAsia="黑体" w:cs="黑体"/>
          <w:b w:val="0"/>
          <w:bCs/>
          <w:color w:val="auto"/>
          <w:sz w:val="28"/>
          <w:szCs w:val="28"/>
          <w:highlight w:val="none"/>
        </w:rPr>
        <w:t xml:space="preserve">General </w:t>
      </w:r>
      <w:r>
        <w:rPr>
          <w:rFonts w:hint="eastAsia" w:ascii="黑体" w:hAnsi="黑体" w:eastAsia="黑体" w:cs="黑体"/>
          <w:b w:val="0"/>
          <w:bCs/>
          <w:color w:val="auto"/>
          <w:sz w:val="28"/>
          <w:szCs w:val="28"/>
          <w:highlight w:val="none"/>
          <w:lang w:eastAsia="zh-CN"/>
        </w:rPr>
        <w:t>rules</w:t>
      </w:r>
      <w:r>
        <w:rPr>
          <w:rFonts w:hint="eastAsia" w:ascii="黑体" w:hAnsi="黑体" w:eastAsia="黑体" w:cs="黑体"/>
          <w:b w:val="0"/>
          <w:bCs/>
          <w:color w:val="auto"/>
          <w:sz w:val="28"/>
          <w:szCs w:val="28"/>
          <w:highlight w:val="none"/>
          <w:lang w:val="en-US" w:eastAsia="zh-CN"/>
        </w:rPr>
        <w:t xml:space="preserve"> for </w:t>
      </w:r>
      <w:r>
        <w:rPr>
          <w:rFonts w:hint="eastAsia" w:ascii="黑体" w:hAnsi="黑体" w:eastAsia="黑体" w:cs="黑体"/>
          <w:b w:val="0"/>
          <w:bCs/>
          <w:color w:val="auto"/>
          <w:sz w:val="28"/>
          <w:szCs w:val="28"/>
          <w:highlight w:val="none"/>
        </w:rPr>
        <w:t xml:space="preserve">Equipping and Managing of the </w:t>
      </w:r>
      <w:r>
        <w:rPr>
          <w:rFonts w:hint="eastAsia" w:ascii="黑体" w:hAnsi="黑体" w:eastAsia="黑体" w:cs="黑体"/>
          <w:b w:val="0"/>
          <w:bCs/>
          <w:color w:val="auto"/>
          <w:sz w:val="28"/>
          <w:szCs w:val="28"/>
          <w:highlight w:val="none"/>
          <w:lang w:val="en-US" w:eastAsia="zh-CN"/>
        </w:rPr>
        <w:t>M</w:t>
      </w:r>
      <w:r>
        <w:rPr>
          <w:rFonts w:hint="eastAsia" w:ascii="黑体" w:hAnsi="黑体" w:eastAsia="黑体" w:cs="黑体"/>
          <w:b w:val="0"/>
          <w:bCs/>
          <w:color w:val="auto"/>
          <w:sz w:val="28"/>
          <w:szCs w:val="28"/>
          <w:highlight w:val="none"/>
        </w:rPr>
        <w:t xml:space="preserve">easuring </w:t>
      </w:r>
      <w:r>
        <w:rPr>
          <w:rFonts w:hint="eastAsia" w:ascii="黑体" w:hAnsi="黑体" w:eastAsia="黑体" w:cs="黑体"/>
          <w:b w:val="0"/>
          <w:bCs/>
          <w:color w:val="auto"/>
          <w:sz w:val="28"/>
          <w:szCs w:val="28"/>
          <w:highlight w:val="none"/>
          <w:lang w:val="en-US" w:eastAsia="zh-CN"/>
        </w:rPr>
        <w:t>I</w:t>
      </w:r>
      <w:r>
        <w:rPr>
          <w:rFonts w:hint="eastAsia" w:ascii="黑体" w:hAnsi="黑体" w:eastAsia="黑体" w:cs="黑体"/>
          <w:b w:val="0"/>
          <w:bCs/>
          <w:color w:val="auto"/>
          <w:sz w:val="28"/>
          <w:szCs w:val="28"/>
          <w:highlight w:val="none"/>
        </w:rPr>
        <w:t>nstrument</w:t>
      </w:r>
      <w:r>
        <w:rPr>
          <w:rFonts w:hint="eastAsia" w:ascii="黑体" w:hAnsi="黑体" w:eastAsia="黑体" w:cs="黑体"/>
          <w:b w:val="0"/>
          <w:bCs/>
          <w:color w:val="auto"/>
          <w:sz w:val="28"/>
          <w:szCs w:val="28"/>
          <w:highlight w:val="none"/>
          <w:lang w:val="en-US" w:eastAsia="zh-CN"/>
        </w:rPr>
        <w:t xml:space="preserve"> </w:t>
      </w:r>
      <w:r>
        <w:rPr>
          <w:rFonts w:hint="eastAsia" w:ascii="黑体" w:hAnsi="黑体" w:eastAsia="黑体" w:cs="黑体"/>
          <w:b w:val="0"/>
          <w:bCs/>
          <w:color w:val="auto"/>
          <w:sz w:val="28"/>
          <w:szCs w:val="28"/>
          <w:highlight w:val="none"/>
        </w:rPr>
        <w:t>for Monitoring</w:t>
      </w:r>
      <w:r>
        <w:rPr>
          <w:rFonts w:hint="eastAsia" w:ascii="黑体" w:hAnsi="黑体" w:eastAsia="黑体" w:cs="黑体"/>
          <w:b w:val="0"/>
          <w:bCs/>
          <w:color w:val="auto"/>
          <w:sz w:val="28"/>
          <w:szCs w:val="28"/>
          <w:highlight w:val="none"/>
          <w:lang w:val="en-US" w:eastAsia="zh-CN"/>
        </w:rPr>
        <w:t xml:space="preserve"> </w:t>
      </w:r>
      <w:r>
        <w:rPr>
          <w:rFonts w:hint="eastAsia" w:ascii="黑体" w:hAnsi="黑体" w:eastAsia="黑体" w:cs="黑体"/>
          <w:b w:val="0"/>
          <w:bCs/>
          <w:color w:val="auto"/>
          <w:sz w:val="28"/>
          <w:szCs w:val="28"/>
          <w:highlight w:val="none"/>
        </w:rPr>
        <w:t>in</w:t>
      </w:r>
      <w:r>
        <w:rPr>
          <w:rFonts w:hint="eastAsia" w:ascii="黑体" w:hAnsi="黑体" w:eastAsia="黑体" w:cs="黑体"/>
          <w:b w:val="0"/>
          <w:bCs/>
          <w:color w:val="auto"/>
          <w:sz w:val="28"/>
          <w:szCs w:val="28"/>
          <w:highlight w:val="none"/>
          <w:lang w:val="en-US" w:eastAsia="zh-CN"/>
        </w:rPr>
        <w:t xml:space="preserve"> </w:t>
      </w:r>
      <w:r>
        <w:rPr>
          <w:rFonts w:hint="eastAsia" w:ascii="黑体" w:hAnsi="黑体" w:eastAsia="黑体" w:cs="黑体"/>
          <w:b w:val="0"/>
          <w:bCs/>
          <w:color w:val="auto"/>
          <w:sz w:val="28"/>
          <w:szCs w:val="28"/>
          <w:highlight w:val="none"/>
        </w:rPr>
        <w:t>High energy consumption</w:t>
      </w:r>
      <w:r>
        <w:rPr>
          <w:rFonts w:hint="eastAsia" w:ascii="黑体" w:hAnsi="黑体" w:eastAsia="黑体" w:cs="黑体"/>
          <w:b w:val="0"/>
          <w:bCs/>
          <w:color w:val="auto"/>
          <w:sz w:val="28"/>
          <w:szCs w:val="28"/>
          <w:highlight w:val="none"/>
          <w:lang w:val="en-US" w:eastAsia="zh-CN"/>
        </w:rPr>
        <w:t xml:space="preserve"> and H</w:t>
      </w:r>
      <w:r>
        <w:rPr>
          <w:rFonts w:hint="eastAsia" w:ascii="黑体" w:hAnsi="黑体" w:eastAsia="黑体" w:cs="黑体"/>
          <w:b w:val="0"/>
          <w:bCs/>
          <w:color w:val="auto"/>
          <w:sz w:val="28"/>
          <w:szCs w:val="28"/>
          <w:highlight w:val="none"/>
        </w:rPr>
        <w:t>igh emissions</w:t>
      </w:r>
      <w:r>
        <w:rPr>
          <w:rFonts w:hint="default" w:ascii="Times New Roman" w:hAnsi="Times New Roman" w:cs="Times New Roman"/>
          <w:b/>
          <w:color w:val="auto"/>
          <w:sz w:val="28"/>
          <w:szCs w:val="28"/>
          <w:highlight w:val="none"/>
        </w:rPr>
        <w:t xml:space="preserve"> </w:t>
      </w:r>
      <w:r>
        <w:rPr>
          <w:rFonts w:hint="eastAsia" w:ascii="黑体" w:hAnsi="黑体" w:eastAsia="黑体" w:cs="黑体"/>
          <w:b w:val="0"/>
          <w:bCs/>
          <w:color w:val="auto"/>
          <w:sz w:val="28"/>
          <w:szCs w:val="28"/>
          <w:highlight w:val="none"/>
          <w:lang w:val="en-US" w:eastAsia="zh-CN"/>
        </w:rPr>
        <w:t>E</w:t>
      </w:r>
      <w:r>
        <w:rPr>
          <w:rFonts w:hint="eastAsia" w:ascii="黑体" w:hAnsi="黑体" w:eastAsia="黑体" w:cs="黑体"/>
          <w:b w:val="0"/>
          <w:bCs/>
          <w:color w:val="auto"/>
          <w:sz w:val="28"/>
          <w:szCs w:val="28"/>
          <w:highlight w:val="none"/>
        </w:rPr>
        <w:t>nterprise</w:t>
      </w:r>
    </w:p>
    <w:p w14:paraId="5D3002ED">
      <w:pPr>
        <w:spacing w:line="466" w:lineRule="auto"/>
        <w:ind w:right="646"/>
        <w:jc w:val="both"/>
        <w:rPr>
          <w:rFonts w:hint="default" w:ascii="Times New Roman" w:hAnsi="Times New Roman" w:eastAsia="楷体" w:cs="Times New Roman"/>
          <w:color w:val="auto"/>
          <w:sz w:val="48"/>
          <w:szCs w:val="48"/>
          <w:highlight w:val="none"/>
        </w:rPr>
      </w:pPr>
    </w:p>
    <w:p w14:paraId="64C1AF7D">
      <w:pPr>
        <w:spacing w:line="466" w:lineRule="auto"/>
        <w:ind w:left="539" w:right="646"/>
        <w:jc w:val="center"/>
        <w:rPr>
          <w:rFonts w:hint="default" w:ascii="Times New Roman" w:hAnsi="Times New Roman" w:eastAsia="楷体" w:cs="Times New Roman"/>
          <w:color w:val="auto"/>
          <w:sz w:val="48"/>
          <w:szCs w:val="48"/>
          <w:highlight w:val="none"/>
        </w:rPr>
      </w:pPr>
      <w:r>
        <w:rPr>
          <w:rFonts w:hint="default" w:ascii="Times New Roman" w:hAnsi="Times New Roman" w:eastAsia="楷体" w:cs="Times New Roman"/>
          <w:color w:val="auto"/>
          <w:sz w:val="48"/>
          <w:szCs w:val="48"/>
          <w:highlight w:val="none"/>
        </w:rPr>
        <w:t>（</w:t>
      </w:r>
      <w:r>
        <w:rPr>
          <w:rFonts w:hint="eastAsia" w:eastAsia="楷体" w:cs="Times New Roman"/>
          <w:color w:val="auto"/>
          <w:sz w:val="48"/>
          <w:szCs w:val="48"/>
          <w:highlight w:val="none"/>
          <w:lang w:val="en-US" w:eastAsia="zh-CN"/>
        </w:rPr>
        <w:t>报批</w:t>
      </w:r>
      <w:r>
        <w:rPr>
          <w:rFonts w:hint="default" w:ascii="Times New Roman" w:hAnsi="Times New Roman" w:eastAsia="楷体" w:cs="Times New Roman"/>
          <w:color w:val="auto"/>
          <w:sz w:val="48"/>
          <w:szCs w:val="48"/>
          <w:highlight w:val="none"/>
        </w:rPr>
        <w:t>稿）</w:t>
      </w:r>
    </w:p>
    <w:p w14:paraId="6CF8940F">
      <w:pPr>
        <w:spacing w:line="500" w:lineRule="exact"/>
        <w:jc w:val="both"/>
        <w:rPr>
          <w:rFonts w:hint="default" w:ascii="Times New Roman" w:hAnsi="Times New Roman" w:eastAsia="方正黑体简体" w:cs="Times New Roman"/>
          <w:bCs/>
          <w:color w:val="auto"/>
          <w:sz w:val="28"/>
          <w:szCs w:val="28"/>
          <w:highlight w:val="none"/>
        </w:rPr>
      </w:pPr>
    </w:p>
    <w:p w14:paraId="33CFB481">
      <w:pPr>
        <w:spacing w:line="500" w:lineRule="exact"/>
        <w:jc w:val="center"/>
        <w:rPr>
          <w:rFonts w:hint="default" w:ascii="Times New Roman" w:hAnsi="Times New Roman" w:eastAsia="方正黑体简体" w:cs="Times New Roman"/>
          <w:bCs/>
          <w:color w:val="auto"/>
          <w:sz w:val="28"/>
          <w:szCs w:val="28"/>
          <w:highlight w:val="none"/>
        </w:rPr>
      </w:pPr>
    </w:p>
    <w:p w14:paraId="6776539B">
      <w:pPr>
        <w:spacing w:line="500" w:lineRule="exact"/>
        <w:jc w:val="center"/>
        <w:rPr>
          <w:rFonts w:hint="default" w:ascii="Times New Roman" w:hAnsi="Times New Roman" w:eastAsia="方正黑体简体" w:cs="Times New Roman"/>
          <w:bCs/>
          <w:color w:val="auto"/>
          <w:sz w:val="28"/>
          <w:szCs w:val="28"/>
          <w:highlight w:val="none"/>
        </w:rPr>
      </w:pPr>
    </w:p>
    <w:p w14:paraId="46C81DD6">
      <w:pPr>
        <w:spacing w:line="460" w:lineRule="exact"/>
        <w:rPr>
          <w:rFonts w:hint="default" w:ascii="Times New Roman" w:hAnsi="Times New Roman" w:eastAsia="方正黑体简体" w:cs="Times New Roman"/>
          <w:bCs/>
          <w:color w:val="auto"/>
          <w:sz w:val="30"/>
          <w:szCs w:val="30"/>
          <w:highlight w:val="none"/>
        </w:rPr>
      </w:pPr>
    </w:p>
    <w:p w14:paraId="2DF33869">
      <w:pPr>
        <w:spacing w:line="500" w:lineRule="exact"/>
        <w:jc w:val="center"/>
        <w:rPr>
          <w:rFonts w:hint="default" w:ascii="Times New Roman" w:hAnsi="Times New Roman" w:eastAsia="黑体" w:cs="Times New Roman"/>
          <w:bCs/>
          <w:color w:val="auto"/>
          <w:sz w:val="28"/>
          <w:szCs w:val="28"/>
          <w:highlight w:val="none"/>
        </w:rPr>
      </w:pPr>
      <w:r>
        <w:rPr>
          <w:rFonts w:hint="default" w:ascii="Times New Roman" w:hAnsi="Times New Roman" w:eastAsia="黑体" w:cs="Times New Roman"/>
          <w:bCs/>
          <w:color w:val="auto"/>
          <w:sz w:val="28"/>
          <w:szCs w:val="28"/>
          <w:highlight w:val="none"/>
        </w:rPr>
        <w:t>202</w:t>
      </w:r>
      <w:r>
        <w:rPr>
          <w:rFonts w:hint="eastAsia" w:eastAsia="黑体" w:cs="Times New Roman"/>
          <w:bCs/>
          <w:color w:val="auto"/>
          <w:sz w:val="28"/>
          <w:szCs w:val="28"/>
          <w:highlight w:val="none"/>
          <w:lang w:val="en-US" w:eastAsia="zh-CN"/>
        </w:rPr>
        <w:t>5</w:t>
      </w:r>
      <w:r>
        <w:rPr>
          <w:rFonts w:hint="default" w:ascii="Times New Roman" w:hAnsi="Times New Roman" w:eastAsia="黑体" w:cs="Times New Roman"/>
          <w:bCs/>
          <w:color w:val="auto"/>
          <w:sz w:val="28"/>
          <w:szCs w:val="28"/>
          <w:highlight w:val="none"/>
        </w:rPr>
        <w:t xml:space="preserve">-X-X发布  </w:t>
      </w:r>
      <w:r>
        <w:rPr>
          <w:rFonts w:hint="default" w:ascii="Times New Roman" w:hAnsi="Times New Roman" w:eastAsia="黑体" w:cs="Times New Roman"/>
          <w:bCs/>
          <w:color w:val="auto"/>
          <w:sz w:val="30"/>
          <w:szCs w:val="30"/>
          <w:highlight w:val="none"/>
        </w:rPr>
        <w:t xml:space="preserve">       　　　                </w:t>
      </w:r>
      <w:r>
        <w:rPr>
          <w:rFonts w:hint="default" w:ascii="Times New Roman" w:hAnsi="Times New Roman" w:eastAsia="黑体" w:cs="Times New Roman"/>
          <w:bCs/>
          <w:color w:val="auto"/>
          <w:sz w:val="28"/>
          <w:szCs w:val="28"/>
          <w:highlight w:val="none"/>
        </w:rPr>
        <w:t>202</w:t>
      </w:r>
      <w:r>
        <w:rPr>
          <w:rFonts w:hint="eastAsia" w:eastAsia="黑体" w:cs="Times New Roman"/>
          <w:bCs/>
          <w:color w:val="auto"/>
          <w:sz w:val="28"/>
          <w:szCs w:val="28"/>
          <w:highlight w:val="none"/>
          <w:lang w:val="en-US" w:eastAsia="zh-CN"/>
        </w:rPr>
        <w:t>5</w:t>
      </w:r>
      <w:r>
        <w:rPr>
          <w:rFonts w:hint="default" w:ascii="Times New Roman" w:hAnsi="Times New Roman" w:eastAsia="黑体" w:cs="Times New Roman"/>
          <w:bCs/>
          <w:color w:val="auto"/>
          <w:sz w:val="28"/>
          <w:szCs w:val="28"/>
          <w:highlight w:val="none"/>
        </w:rPr>
        <w:t>-X-X实施</w:t>
      </w:r>
    </w:p>
    <w:p w14:paraId="5E2F2101">
      <w:pPr>
        <w:spacing w:line="300" w:lineRule="exact"/>
        <w:jc w:val="center"/>
        <w:rPr>
          <w:rFonts w:hint="default" w:ascii="Times New Roman" w:hAnsi="Times New Roman" w:eastAsia="方正小标宋_GBK" w:cs="Times New Roman"/>
          <w:color w:val="auto"/>
          <w:w w:val="120"/>
          <w:sz w:val="44"/>
          <w:highlight w:val="none"/>
        </w:rPr>
      </w:pPr>
      <w:r>
        <w:rPr>
          <w:rFonts w:hint="default" w:ascii="Times New Roman" w:hAnsi="Times New Roman" w:eastAsia="方正黑体简体" w:cs="Times New Roman"/>
          <w:bCs/>
          <w:color w:val="auto"/>
          <w:highlight w:val="none"/>
        </w:rPr>
        <mc:AlternateContent>
          <mc:Choice Requires="wps">
            <w:drawing>
              <wp:anchor distT="0" distB="0" distL="114300" distR="114300" simplePos="0" relativeHeight="251665408" behindDoc="0" locked="0" layoutInCell="1" allowOverlap="1">
                <wp:simplePos x="0" y="0"/>
                <wp:positionH relativeFrom="column">
                  <wp:posOffset>-89535</wp:posOffset>
                </wp:positionH>
                <wp:positionV relativeFrom="paragraph">
                  <wp:posOffset>111760</wp:posOffset>
                </wp:positionV>
                <wp:extent cx="6120130" cy="0"/>
                <wp:effectExtent l="12065" t="9525" r="11430" b="9525"/>
                <wp:wrapNone/>
                <wp:docPr id="188" name="Line 878"/>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878" o:spid="_x0000_s1026" o:spt="20" style="position:absolute;left:0pt;margin-left:-7.05pt;margin-top:8.8pt;height:0pt;width:481.9pt;z-index:251665408;mso-width-relative:page;mso-height-relative:page;" filled="f" stroked="t" coordsize="21600,21600" o:gfxdata="UEsDBAoAAAAAAIdO4kAAAAAAAAAAAAAAAAAEAAAAZHJzL1BLAwQUAAAACACHTuJACsFpKdcAAAAJ&#10;AQAADwAAAGRycy9kb3ducmV2LnhtbE2Py07DQAxF90j8w8hIbKp2klL1ETLpAsiODQXUrZsxSUTG&#10;k2amD/h6jLqApX2Pro/z9dl16khDaD0bSCcJKOLK25ZrA2+v5XgJKkRki51nMvBFAdbF9VWOmfUn&#10;fqHjJtZKSjhkaKCJsc+0DlVDDsPE98SSffjBYZRxqLUd8CTlrtPTJJlrhy3LhQZ7emio+twcnIFQ&#10;vtO+/B5Vo2R7V3ua7h+fn9CY25s0uQcV6Rz/YPjVF3UoxGnnD2yD6gyM01kqqASLOSgBVrPVAtTu&#10;stBFrv9/UPwAUEsDBBQAAAAIAIdO4kB3p7uozAEAAKMDAAAOAAAAZHJzL2Uyb0RvYy54bWytU01v&#10;2zAMvQ/YfxB0X5xkaJcZcXpI0F2yLUC7H6BIsi1MEgVRiZ1/P0r5aNddepgPgiiSj3yP9PJhdJYd&#10;dUQDvuGzyZQz7SUo47uG/3p+/LTgDJPwSljwuuEnjfxh9fHDcgi1nkMPVunICMRjPYSG9ymFuqpQ&#10;9toJnEDQnpwtRCcSmbGrVBQDoTtbzafT+2qAqEIEqRHpdXN28gtifA8gtK2RegPy4LRPZ9SorUhE&#10;CXsTkK9Kt22rZfrZtqgTsw0npqmcVITu+3xWq6WouyhCb+SlBfGeFt5wcsJ4KnqD2ogk2CGaf6Cc&#10;kREQ2jSR4KozkaIIsZhN32jz1IugCxeSGsNNdPx/sPLHcReZUbQJCxq8F45GvjVes8WXRVZnCFhT&#10;0NrvYuYnR/8UtiB/I/Ow7oXvdOny+RQocZYzqr9SsoGBauyH76AoRhwSFKnGNroMSSKwsUzkdJuI&#10;HhOT9Hg/I1k+07Dk1VeJ+poYIqZvGhzLl4Zb6roAi+MWU25E1NeQXMfDo7G2DNx6NjT86938riQg&#10;WKOyM4dh7PZrG9lR5JUpX2FFntdhEQ5enYtYfyGdeZ4V24M67eJVDJpd6eayZ3k5Xtsl++XfWv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CsFpKdcAAAAJAQAADwAAAAAAAAABACAAAAAiAAAAZHJz&#10;L2Rvd25yZXYueG1sUEsBAhQAFAAAAAgAh07iQHenu6jMAQAAowMAAA4AAAAAAAAAAQAgAAAAJgEA&#10;AGRycy9lMm9Eb2MueG1sUEsFBgAAAAAGAAYAWQEAAGQFAAAAAA==&#10;">
                <v:fill on="f" focussize="0,0"/>
                <v:stroke color="#000000" joinstyle="round"/>
                <v:imagedata o:title=""/>
                <o:lock v:ext="edit" aspectratio="f"/>
              </v:line>
            </w:pict>
          </mc:Fallback>
        </mc:AlternateContent>
      </w:r>
    </w:p>
    <w:p w14:paraId="7618D109">
      <w:pPr>
        <w:keepNext w:val="0"/>
        <w:keepLines w:val="0"/>
        <w:pageBreakBefore w:val="0"/>
        <w:widowControl w:val="0"/>
        <w:kinsoku/>
        <w:wordWrap/>
        <w:overflowPunct/>
        <w:topLinePunct w:val="0"/>
        <w:autoSpaceDE w:val="0"/>
        <w:autoSpaceDN w:val="0"/>
        <w:bidi w:val="0"/>
        <w:adjustRightInd w:val="0"/>
        <w:snapToGrid/>
        <w:spacing w:before="14" w:line="240" w:lineRule="auto"/>
        <w:jc w:val="center"/>
        <w:textAlignment w:val="auto"/>
        <w:rPr>
          <w:rFonts w:hint="default" w:ascii="Times New Roman" w:hAnsi="Times New Roman" w:eastAsia="Times New Roman" w:cs="Times New Roman"/>
          <w:color w:val="auto"/>
          <w:highlight w:val="none"/>
        </w:rPr>
        <w:sectPr>
          <w:headerReference r:id="rId3" w:type="default"/>
          <w:pgSz w:w="11907" w:h="16840"/>
          <w:pgMar w:top="1720" w:right="980" w:bottom="280" w:left="1280" w:header="1448" w:footer="0" w:gutter="0"/>
          <w:pgBorders>
            <w:top w:val="none" w:sz="0" w:space="0"/>
            <w:left w:val="none" w:sz="0" w:space="0"/>
            <w:bottom w:val="none" w:sz="0" w:space="0"/>
            <w:right w:val="none" w:sz="0" w:space="0"/>
          </w:pgBorders>
          <w:pgNumType w:start="2"/>
          <w:cols w:space="720" w:num="1"/>
        </w:sectPr>
      </w:pPr>
      <w:r>
        <w:rPr>
          <w:rFonts w:hint="default" w:ascii="Times New Roman" w:hAnsi="Times New Roman" w:eastAsia="方正小标宋_GBK" w:cs="Times New Roman"/>
          <w:color w:val="auto"/>
          <w:w w:val="120"/>
          <w:sz w:val="44"/>
          <w:highlight w:val="none"/>
        </w:rPr>
        <w:t xml:space="preserve">安徽省市场监督管理局 </w:t>
      </w:r>
      <w:r>
        <w:rPr>
          <w:rFonts w:hint="default" w:ascii="Times New Roman" w:hAnsi="Times New Roman" w:eastAsia="黑体" w:cs="Times New Roman"/>
          <w:color w:val="auto"/>
          <w:w w:val="120"/>
          <w:sz w:val="28"/>
          <w:highlight w:val="none"/>
        </w:rPr>
        <w:t>发 布</w:t>
      </w:r>
    </w:p>
    <w:p w14:paraId="26057D04">
      <w:pPr>
        <w:spacing w:before="14" w:line="240" w:lineRule="exact"/>
        <w:rPr>
          <w:rFonts w:hint="default" w:ascii="Times New Roman" w:hAnsi="Times New Roman" w:eastAsia="Times New Roman" w:cs="Times New Roman"/>
          <w:color w:val="auto"/>
          <w:highlight w:val="none"/>
        </w:rPr>
      </w:pPr>
    </w:p>
    <w:p w14:paraId="12CC1D89">
      <w:pPr>
        <w:spacing w:before="14" w:line="240" w:lineRule="exact"/>
        <w:rPr>
          <w:rFonts w:hint="default" w:ascii="Times New Roman" w:hAnsi="Times New Roman" w:eastAsia="Times New Roman" w:cs="Times New Roman"/>
          <w:color w:val="auto"/>
          <w:highlight w:val="none"/>
        </w:rPr>
        <w:sectPr>
          <w:pgSz w:w="11907" w:h="16840"/>
          <w:pgMar w:top="1720" w:right="980" w:bottom="280" w:left="1280" w:header="1448" w:footer="0" w:gutter="0"/>
          <w:pgBorders>
            <w:top w:val="none" w:sz="0" w:space="0"/>
            <w:left w:val="none" w:sz="0" w:space="0"/>
            <w:bottom w:val="none" w:sz="0" w:space="0"/>
            <w:right w:val="none" w:sz="0" w:space="0"/>
          </w:pgBorders>
          <w:pgNumType w:start="2"/>
          <w:cols w:space="720" w:num="1"/>
        </w:sectPr>
      </w:pPr>
    </w:p>
    <w:p w14:paraId="739E1B38">
      <w:pPr>
        <w:keepNext w:val="0"/>
        <w:keepLines w:val="0"/>
        <w:pageBreakBefore w:val="0"/>
        <w:widowControl w:val="0"/>
        <w:kinsoku/>
        <w:wordWrap/>
        <w:overflowPunct/>
        <w:topLinePunct w:val="0"/>
        <w:autoSpaceDE w:val="0"/>
        <w:autoSpaceDN w:val="0"/>
        <w:bidi w:val="0"/>
        <w:adjustRightInd w:val="0"/>
        <w:snapToGrid/>
        <w:spacing w:before="1" w:line="240" w:lineRule="auto"/>
        <w:textAlignment w:val="auto"/>
        <w:rPr>
          <w:rFonts w:hint="default" w:ascii="Times New Roman" w:hAnsi="Times New Roman" w:eastAsia="Times New Roman" w:cs="Times New Roman"/>
          <w:color w:val="auto"/>
          <w:highlight w:val="none"/>
        </w:rPr>
      </w:pPr>
      <w:r>
        <w:rPr>
          <w:rFonts w:hint="eastAsia" w:eastAsia="黑体" w:cs="Times New Roman"/>
          <w:color w:val="auto"/>
          <w:sz w:val="44"/>
          <w:szCs w:val="44"/>
          <w:highlight w:val="none"/>
          <w:lang w:eastAsia="zh-CN"/>
        </w:rPr>
        <w:t>“</w:t>
      </w:r>
      <w:r>
        <w:rPr>
          <w:rFonts w:hint="default" w:ascii="Times New Roman" w:hAnsi="Times New Roman" w:eastAsia="黑体" w:cs="Times New Roman"/>
          <w:color w:val="auto"/>
          <w:sz w:val="28"/>
          <w:highlight w:val="none"/>
        </w:rPr>
        <mc:AlternateContent>
          <mc:Choice Requires="wps">
            <w:drawing>
              <wp:anchor distT="0" distB="0" distL="114300" distR="114300" simplePos="0" relativeHeight="251663360" behindDoc="0" locked="0" layoutInCell="1" allowOverlap="1">
                <wp:simplePos x="0" y="0"/>
                <wp:positionH relativeFrom="column">
                  <wp:posOffset>4319270</wp:posOffset>
                </wp:positionH>
                <wp:positionV relativeFrom="paragraph">
                  <wp:posOffset>347980</wp:posOffset>
                </wp:positionV>
                <wp:extent cx="1725930" cy="789940"/>
                <wp:effectExtent l="0" t="0" r="26670" b="10160"/>
                <wp:wrapNone/>
                <wp:docPr id="108" name="圆角矩形 108"/>
                <wp:cNvGraphicFramePr/>
                <a:graphic xmlns:a="http://schemas.openxmlformats.org/drawingml/2006/main">
                  <a:graphicData uri="http://schemas.microsoft.com/office/word/2010/wordprocessingShape">
                    <wps:wsp>
                      <wps:cNvSpPr>
                        <a:spLocks noChangeArrowheads="1"/>
                      </wps:cNvSpPr>
                      <wps:spPr bwMode="auto">
                        <a:xfrm>
                          <a:off x="0" y="0"/>
                          <a:ext cx="1725930" cy="789940"/>
                        </a:xfrm>
                        <a:prstGeom prst="roundRect">
                          <a:avLst>
                            <a:gd name="adj" fmla="val 16667"/>
                          </a:avLst>
                        </a:prstGeom>
                        <a:solidFill>
                          <a:srgbClr val="FFFFFF"/>
                        </a:solidFill>
                        <a:ln w="12700" cmpd="sng">
                          <a:solidFill>
                            <a:srgbClr val="000000"/>
                          </a:solidFill>
                          <a:prstDash val="dash"/>
                          <a:miter lim="800000"/>
                        </a:ln>
                        <a:effectLst/>
                      </wps:spPr>
                      <wps:txbx>
                        <w:txbxContent>
                          <w:p w14:paraId="5099C79B">
                            <w:pPr>
                              <w:jc w:val="center"/>
                              <w:rPr>
                                <w:rFonts w:eastAsia="Times New Roman"/>
                                <w:sz w:val="28"/>
                              </w:rPr>
                            </w:pPr>
                          </w:p>
                          <w:p w14:paraId="5BA548F7">
                            <w:pPr>
                              <w:jc w:val="center"/>
                              <w:rPr>
                                <w:rFonts w:hint="eastAsia" w:ascii="黑体" w:hAnsi="黑体" w:eastAsia="黑体"/>
                                <w:sz w:val="28"/>
                                <w:lang w:eastAsia="zh-CN"/>
                              </w:rPr>
                            </w:pPr>
                            <w:r>
                              <w:rPr>
                                <w:rFonts w:ascii="黑体" w:hAnsi="黑体" w:eastAsia="黑体"/>
                                <w:sz w:val="28"/>
                              </w:rPr>
                              <w:t>JJF(</w:t>
                            </w:r>
                            <w:r>
                              <w:rPr>
                                <w:rFonts w:hint="eastAsia" w:ascii="黑体" w:hAnsi="黑体" w:eastAsia="黑体"/>
                                <w:sz w:val="28"/>
                              </w:rPr>
                              <w:t>皖</w:t>
                            </w:r>
                            <w:r>
                              <w:rPr>
                                <w:rFonts w:ascii="黑体" w:hAnsi="黑体" w:eastAsia="黑体"/>
                                <w:sz w:val="28"/>
                              </w:rPr>
                              <w:t>)xx</w:t>
                            </w:r>
                            <w:r>
                              <w:rPr>
                                <w:rFonts w:hint="eastAsia" w:ascii="黑体" w:hAnsi="黑体" w:eastAsia="黑体"/>
                                <w:sz w:val="28"/>
                              </w:rPr>
                              <w:t>－202</w:t>
                            </w:r>
                            <w:r>
                              <w:rPr>
                                <w:rFonts w:hint="eastAsia" w:ascii="黑体" w:hAnsi="黑体" w:eastAsia="黑体"/>
                                <w:sz w:val="28"/>
                                <w:lang w:val="en-US" w:eastAsia="zh-CN"/>
                              </w:rPr>
                              <w:t>5</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340.1pt;margin-top:27.4pt;height:62.2pt;width:135.9pt;z-index:251663360;mso-width-relative:page;mso-height-relative:page;" fillcolor="#FFFFFF" filled="t" stroked="t" coordsize="21600,21600" arcsize="0.166666666666667" o:gfxdata="UEsDBAoAAAAAAIdO4kAAAAAAAAAAAAAAAAAEAAAAZHJzL1BLAwQUAAAACACHTuJAkhoN+9oAAAAK&#10;AQAADwAAAGRycy9kb3ducmV2LnhtbE2Py07DMBBF90j8gzVIbBC1G9rQhjhdABVSkZAoSGzdeJpE&#10;2OModvr4e4YVLEdzdO+55erknTjgELtAGqYTBQKpDrajRsPnx/p2ASImQ9a4QKjhjBFW1eVFaQob&#10;jvSOh21qBIdQLIyGNqW+kDLWLXoTJ6FH4t8+DN4kPodG2sEcOdw7mSmVS2864obW9PjYYv29Hb2G&#10;WXe3iW9f6xccX91NXp+f+6e90vr6aqoeQCQ8pT8YfvVZHSp22oWRbBROQ75QGaMa5jOewMBynvG4&#10;HZP3ywxkVcr/E6ofUEsDBBQAAAAIAIdO4kCRUc6ldwIAAOcEAAAOAAAAZHJzL2Uyb0RvYy54bWyt&#10;VMFu1DAQvSPxD5bvNMnS7najZquqqyKkAhWFD/DazsZge4zt3Wz5gH4AZyQkLoiP4HMq+AwmTrps&#10;C4ceyCHyZGbevJnnydHxxmiylj4osBUt9nJKpOUglF1W9O2bsyeHlITIrGAarKzolQz0ePb40VHr&#10;SjmCBrSQniCIDWXrKtrE6MosC7yRhoU9cNKiswZvWETTLzPhWYvoRmejPB9nLXjhPHAZAn6d9046&#10;IPqHAEJdKy7nwFdG2tijeqlZxJZCo1ygs8S2riWPr+o6yEh0RbHTmN5YBM+L7p3Njli59Mw1ig8U&#10;2EMo3OvJMGWx6BZqziIjK6/+gjKKewhQxz0OJusbSRPBLor83mwuG+Zk6gVHHdx26OH/wfKX6wtP&#10;lMCbkKPwlhmU/Obz9a9vn35++X7z4yvpvuOUWhdKDL50F77rM7hz4O8DsXDaMLuUJ95D20gmkFvR&#10;xWd3EjojYCpZtC9AYAm2ipAGtqm96QBxFGSTdLna6iI3kXD8WExGB9OnKBlH3+RwOt1PwmWsvM12&#10;PsRnEgzpDhX1sLLiNYqfSrD1eYhJHDE0yMQ7SmqjUeo106QYj8eTRJqVQzBi32KmdkErcaa0ToZf&#10;Lk61J5ha0bP0DMlhN0xb0iL30STvmBuHMw52mRjdiQu7cHl6/gXX0Zmz0PRlBZ66KFYaFXEftTIV&#10;PdxN1rbzyrQD2P+tJJ0KvZpxs9gMwi5AXKE4Hvr9wL8DHhrwHylpcTeQ+IcV85IS/dyiwNNiHxUg&#10;MRn7B5MRGn7Xs9j1MMsRqqKRkv54GvsFXDmvlg1WKtJQLJzgpajVlmrParhKeP/xdGfBdu0U9ef/&#10;NP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khoN+9oAAAAKAQAADwAAAAAAAAABACAAAAAiAAAA&#10;ZHJzL2Rvd25yZXYueG1sUEsBAhQAFAAAAAgAh07iQJFRzqV3AgAA5wQAAA4AAAAAAAAAAQAgAAAA&#10;KQEAAGRycy9lMm9Eb2MueG1sUEsFBgAAAAAGAAYAWQEAABIGAAAAAA==&#10;">
                <v:fill on="t" focussize="0,0"/>
                <v:stroke weight="1pt" color="#000000" miterlimit="8" joinstyle="miter" dashstyle="dash"/>
                <v:imagedata o:title=""/>
                <o:lock v:ext="edit" aspectratio="f"/>
                <v:textbox>
                  <w:txbxContent>
                    <w:p w14:paraId="5099C79B">
                      <w:pPr>
                        <w:jc w:val="center"/>
                        <w:rPr>
                          <w:rFonts w:eastAsia="Times New Roman"/>
                          <w:sz w:val="28"/>
                        </w:rPr>
                      </w:pPr>
                    </w:p>
                    <w:p w14:paraId="5BA548F7">
                      <w:pPr>
                        <w:jc w:val="center"/>
                        <w:rPr>
                          <w:rFonts w:hint="eastAsia" w:ascii="黑体" w:hAnsi="黑体" w:eastAsia="黑体"/>
                          <w:sz w:val="28"/>
                          <w:lang w:eastAsia="zh-CN"/>
                        </w:rPr>
                      </w:pPr>
                      <w:r>
                        <w:rPr>
                          <w:rFonts w:ascii="黑体" w:hAnsi="黑体" w:eastAsia="黑体"/>
                          <w:sz w:val="28"/>
                        </w:rPr>
                        <w:t>JJF(</w:t>
                      </w:r>
                      <w:r>
                        <w:rPr>
                          <w:rFonts w:hint="eastAsia" w:ascii="黑体" w:hAnsi="黑体" w:eastAsia="黑体"/>
                          <w:sz w:val="28"/>
                        </w:rPr>
                        <w:t>皖</w:t>
                      </w:r>
                      <w:r>
                        <w:rPr>
                          <w:rFonts w:ascii="黑体" w:hAnsi="黑体" w:eastAsia="黑体"/>
                          <w:sz w:val="28"/>
                        </w:rPr>
                        <w:t>)xx</w:t>
                      </w:r>
                      <w:r>
                        <w:rPr>
                          <w:rFonts w:hint="eastAsia" w:ascii="黑体" w:hAnsi="黑体" w:eastAsia="黑体"/>
                          <w:sz w:val="28"/>
                        </w:rPr>
                        <w:t>－202</w:t>
                      </w:r>
                      <w:r>
                        <w:rPr>
                          <w:rFonts w:hint="eastAsia" w:ascii="黑体" w:hAnsi="黑体" w:eastAsia="黑体"/>
                          <w:sz w:val="28"/>
                          <w:lang w:val="en-US" w:eastAsia="zh-CN"/>
                        </w:rPr>
                        <w:t>5</w:t>
                      </w:r>
                    </w:p>
                  </w:txbxContent>
                </v:textbox>
              </v:roundrect>
            </w:pict>
          </mc:Fallback>
        </mc:AlternateContent>
      </w:r>
      <w:r>
        <w:rPr>
          <w:rFonts w:hint="default" w:ascii="Times New Roman" w:hAnsi="Times New Roman" w:eastAsia="黑体" w:cs="Times New Roman"/>
          <w:color w:val="auto"/>
          <w:sz w:val="44"/>
          <w:szCs w:val="44"/>
          <w:highlight w:val="none"/>
          <w:lang w:eastAsia="zh-CN"/>
        </w:rPr>
        <w:t>两高</w:t>
      </w:r>
      <w:r>
        <w:rPr>
          <w:rFonts w:hint="eastAsia" w:eastAsia="黑体" w:cs="Times New Roman"/>
          <w:color w:val="auto"/>
          <w:sz w:val="44"/>
          <w:szCs w:val="44"/>
          <w:highlight w:val="none"/>
          <w:lang w:eastAsia="zh-CN"/>
        </w:rPr>
        <w:t>”</w:t>
      </w:r>
      <w:r>
        <w:rPr>
          <w:rFonts w:hint="default" w:ascii="Times New Roman" w:hAnsi="Times New Roman" w:eastAsia="黑体" w:cs="Times New Roman"/>
          <w:color w:val="auto"/>
          <w:sz w:val="44"/>
          <w:szCs w:val="44"/>
          <w:highlight w:val="none"/>
          <w:lang w:eastAsia="zh-CN"/>
        </w:rPr>
        <w:t>企业监测计量器具配备和管理通则</w:t>
      </w:r>
    </w:p>
    <w:p w14:paraId="1CCD595C">
      <w:pPr>
        <w:rPr>
          <w:rFonts w:hint="default" w:ascii="Times New Roman" w:hAnsi="Times New Roman" w:eastAsia="Times New Roman" w:cs="Times New Roman"/>
          <w:color w:val="auto"/>
          <w:sz w:val="20"/>
          <w:highlight w:val="none"/>
        </w:rPr>
      </w:pPr>
      <w:r>
        <w:rPr>
          <w:rFonts w:hint="default" w:ascii="Times New Roman" w:hAnsi="Times New Roman" w:eastAsia="Times New Roman" w:cs="Times New Roman"/>
          <w:color w:val="auto"/>
          <w:sz w:val="20"/>
          <w:highlight w:val="none"/>
        </w:rPr>
        <mc:AlternateContent>
          <mc:Choice Requires="wps">
            <w:drawing>
              <wp:anchor distT="0" distB="0" distL="114300" distR="114300" simplePos="0" relativeHeight="251662336" behindDoc="0" locked="0" layoutInCell="1" allowOverlap="1">
                <wp:simplePos x="0" y="0"/>
                <wp:positionH relativeFrom="column">
                  <wp:posOffset>66675</wp:posOffset>
                </wp:positionH>
                <wp:positionV relativeFrom="paragraph">
                  <wp:posOffset>29210</wp:posOffset>
                </wp:positionV>
                <wp:extent cx="4135120" cy="1056005"/>
                <wp:effectExtent l="0" t="0" r="0" b="0"/>
                <wp:wrapNone/>
                <wp:docPr id="107" name="文本框 107"/>
                <wp:cNvGraphicFramePr/>
                <a:graphic xmlns:a="http://schemas.openxmlformats.org/drawingml/2006/main">
                  <a:graphicData uri="http://schemas.microsoft.com/office/word/2010/wordprocessingShape">
                    <wps:wsp>
                      <wps:cNvSpPr txBox="1">
                        <a:spLocks noChangeArrowheads="1"/>
                      </wps:cNvSpPr>
                      <wps:spPr bwMode="auto">
                        <a:xfrm>
                          <a:off x="0" y="0"/>
                          <a:ext cx="4135120" cy="1056005"/>
                        </a:xfrm>
                        <a:prstGeom prst="rect">
                          <a:avLst/>
                        </a:prstGeom>
                        <a:noFill/>
                        <a:ln>
                          <a:noFill/>
                        </a:ln>
                      </wps:spPr>
                      <wps:txbx>
                        <w:txbxContent>
                          <w:p w14:paraId="336CE9F6">
                            <w:pPr>
                              <w:rPr>
                                <w:rFonts w:hint="eastAsia" w:eastAsia="黑体"/>
                                <w:lang w:val="en-US" w:eastAsia="zh-CN"/>
                              </w:rPr>
                            </w:pPr>
                            <w:r>
                              <w:rPr>
                                <w:rFonts w:hint="eastAsia" w:ascii="黑体" w:hAnsi="黑体" w:eastAsia="黑体" w:cs="黑体"/>
                                <w:b w:val="0"/>
                                <w:bCs/>
                                <w:color w:val="auto"/>
                                <w:sz w:val="28"/>
                                <w:szCs w:val="28"/>
                              </w:rPr>
                              <w:t xml:space="preserve">General </w:t>
                            </w:r>
                            <w:r>
                              <w:rPr>
                                <w:rFonts w:hint="eastAsia" w:ascii="黑体" w:hAnsi="黑体" w:eastAsia="黑体" w:cs="黑体"/>
                                <w:b w:val="0"/>
                                <w:bCs/>
                                <w:color w:val="auto"/>
                                <w:sz w:val="28"/>
                                <w:szCs w:val="28"/>
                                <w:lang w:eastAsia="zh-CN"/>
                              </w:rPr>
                              <w:t>rules</w:t>
                            </w:r>
                            <w:r>
                              <w:rPr>
                                <w:rFonts w:hint="eastAsia" w:ascii="黑体" w:hAnsi="黑体" w:eastAsia="黑体" w:cs="黑体"/>
                                <w:b w:val="0"/>
                                <w:bCs/>
                                <w:color w:val="auto"/>
                                <w:sz w:val="28"/>
                                <w:szCs w:val="28"/>
                                <w:lang w:val="en-US" w:eastAsia="zh-CN"/>
                              </w:rPr>
                              <w:t xml:space="preserve"> for </w:t>
                            </w:r>
                            <w:r>
                              <w:rPr>
                                <w:rFonts w:hint="eastAsia" w:ascii="黑体" w:hAnsi="黑体" w:eastAsia="黑体" w:cs="黑体"/>
                                <w:b w:val="0"/>
                                <w:bCs/>
                                <w:color w:val="auto"/>
                                <w:sz w:val="28"/>
                                <w:szCs w:val="28"/>
                              </w:rPr>
                              <w:t>Equipping and Managing of the Measuring Instrument</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for Monitoring</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 xml:space="preserve">in </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High energy consumption</w:t>
                            </w:r>
                            <w:r>
                              <w:rPr>
                                <w:rFonts w:hint="eastAsia" w:ascii="黑体" w:hAnsi="黑体" w:eastAsia="黑体" w:cs="黑体"/>
                                <w:b w:val="0"/>
                                <w:bCs/>
                                <w:color w:val="auto"/>
                                <w:sz w:val="28"/>
                                <w:szCs w:val="28"/>
                                <w:lang w:val="en-US" w:eastAsia="zh-CN"/>
                              </w:rPr>
                              <w:t xml:space="preserve"> and H</w:t>
                            </w:r>
                            <w:r>
                              <w:rPr>
                                <w:rFonts w:hint="eastAsia" w:ascii="黑体" w:hAnsi="黑体" w:eastAsia="黑体" w:cs="黑体"/>
                                <w:b w:val="0"/>
                                <w:bCs/>
                                <w:color w:val="auto"/>
                                <w:sz w:val="28"/>
                                <w:szCs w:val="28"/>
                              </w:rPr>
                              <w:t>igh emissions</w:t>
                            </w:r>
                            <w:r>
                              <w:rPr>
                                <w:rFonts w:hint="eastAsia" w:ascii="黑体" w:hAnsi="黑体" w:eastAsia="黑体" w:cs="黑体"/>
                                <w:b w:val="0"/>
                                <w:bCs/>
                                <w:color w:val="auto"/>
                                <w:sz w:val="28"/>
                                <w:szCs w:val="28"/>
                                <w:lang w:val="en-US" w:eastAsia="zh-CN"/>
                              </w:rPr>
                              <w:t xml:space="preserve"> E</w:t>
                            </w:r>
                            <w:r>
                              <w:rPr>
                                <w:rFonts w:hint="eastAsia" w:ascii="黑体" w:hAnsi="黑体" w:eastAsia="黑体" w:cs="黑体"/>
                                <w:b w:val="0"/>
                                <w:bCs/>
                                <w:color w:val="auto"/>
                                <w:sz w:val="28"/>
                                <w:szCs w:val="28"/>
                              </w:rPr>
                              <w:t>nterprise</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5.25pt;margin-top:2.3pt;height:83.15pt;width:325.6pt;z-index:251662336;mso-width-relative:page;mso-height-relative:page;" filled="f" stroked="f" coordsize="21600,21600" o:gfxdata="UEsDBAoAAAAAAIdO4kAAAAAAAAAAAAAAAAAEAAAAZHJzL1BLAwQUAAAACACHTuJAYzjmAtQAAAAI&#10;AQAADwAAAGRycy9kb3ducmV2LnhtbE2PwU7DMBBE70j8g7VI3Kgd1KY0xOkBxBVEC0jctvE2iYjX&#10;Uew24e9ZTnCcndHsm3I7+16daYxdYAvZwoAiroPruLHwtn+6uQMVE7LDPjBZ+KYI2+ryosTChYlf&#10;6bxLjZISjgVaaFMaCq1j3ZLHuAgDsXjHMHpMIsdGuxEnKfe9vjUm1x47lg8tDvTQUv21O3kL78/H&#10;z4+leWke/WqYwmw0+4229voqM/egEs3pLwy/+IIOlTAdwoldVL1os5KkhWUOSuw8z9agDnJfmw3o&#10;qtT/B1Q/UEsDBBQAAAAIAIdO4kCGjy3yGQIAABoEAAAOAAAAZHJzL2Uyb0RvYy54bWytU82O0zAQ&#10;viPxDpbvNElpdyFqulq2WoS0/EgLD+A6TmOReMzYbVIegH0DTly481x9DsZOtpTlsgculj0z/ub7&#10;Po8XF33bsJ1Cp8EUPJuknCkjodRmU/BPH6+fveDMeWFK0YBRBd8rxy+WT58sOpurKdTQlAoZgRiX&#10;d7bgtfc2TxIna9UKNwGrDCUrwFZ4OuImKVF0hN42yTRNz5IOsLQIUjlH0dWQ5CMiPgYQqkpLtQK5&#10;bZXxAyqqRniS5GptHV9GtlWlpH9fVU551hSclPq4UhPar8OaLBci36CwtZYjBfEYCg80tUIbanqE&#10;Wgkv2Bb1P1CtlggOKj+R0CaDkOgIqcjSB97c1sKqqIWsdvZouvt/sPLd7gMyXdIkpOecGdHSkx++&#10;3x1+/Dr8/MZCkCzqrMup8tZSre9fQU/lUa6zNyA/O2bgqhZmoy4RoauVKIliFm4mJ1cHHBdA1t1b&#10;KKmT2HqIQH2FbfCPHGGETs+zPz6P6j2TFJxlz+fZlFKSclk6P0vTeewh8vvrFp1/raBlYVNwpPeP&#10;8GJ343ygI/L7ktDNwLVumjgDjfkrQIUhEukHxgN336/70Y41lHsSgjCMFH0o2tSAXznraJwK7r5s&#10;BSrOmjeGzHiZzWZh/uJhNj8PMvA0sz7NCCMJquCes2F75YeZ3VrUm5o6DfYbuCQDKx2lBacHViNv&#10;GpmoeBzvMJOn51j150sv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jOOYC1AAAAAgBAAAPAAAA&#10;AAAAAAEAIAAAACIAAABkcnMvZG93bnJldi54bWxQSwECFAAUAAAACACHTuJAho8t8hkCAAAaBAAA&#10;DgAAAAAAAAABACAAAAAjAQAAZHJzL2Uyb0RvYy54bWxQSwUGAAAAAAYABgBZAQAArgUAAAAA&#10;">
                <v:fill on="f" focussize="0,0"/>
                <v:stroke on="f"/>
                <v:imagedata o:title=""/>
                <o:lock v:ext="edit" aspectratio="f"/>
                <v:textbox>
                  <w:txbxContent>
                    <w:p w14:paraId="336CE9F6">
                      <w:pPr>
                        <w:rPr>
                          <w:rFonts w:hint="eastAsia" w:eastAsia="黑体"/>
                          <w:lang w:val="en-US" w:eastAsia="zh-CN"/>
                        </w:rPr>
                      </w:pPr>
                      <w:r>
                        <w:rPr>
                          <w:rFonts w:hint="eastAsia" w:ascii="黑体" w:hAnsi="黑体" w:eastAsia="黑体" w:cs="黑体"/>
                          <w:b w:val="0"/>
                          <w:bCs/>
                          <w:color w:val="auto"/>
                          <w:sz w:val="28"/>
                          <w:szCs w:val="28"/>
                        </w:rPr>
                        <w:t xml:space="preserve">General </w:t>
                      </w:r>
                      <w:r>
                        <w:rPr>
                          <w:rFonts w:hint="eastAsia" w:ascii="黑体" w:hAnsi="黑体" w:eastAsia="黑体" w:cs="黑体"/>
                          <w:b w:val="0"/>
                          <w:bCs/>
                          <w:color w:val="auto"/>
                          <w:sz w:val="28"/>
                          <w:szCs w:val="28"/>
                          <w:lang w:eastAsia="zh-CN"/>
                        </w:rPr>
                        <w:t>rules</w:t>
                      </w:r>
                      <w:r>
                        <w:rPr>
                          <w:rFonts w:hint="eastAsia" w:ascii="黑体" w:hAnsi="黑体" w:eastAsia="黑体" w:cs="黑体"/>
                          <w:b w:val="0"/>
                          <w:bCs/>
                          <w:color w:val="auto"/>
                          <w:sz w:val="28"/>
                          <w:szCs w:val="28"/>
                          <w:lang w:val="en-US" w:eastAsia="zh-CN"/>
                        </w:rPr>
                        <w:t xml:space="preserve"> for </w:t>
                      </w:r>
                      <w:r>
                        <w:rPr>
                          <w:rFonts w:hint="eastAsia" w:ascii="黑体" w:hAnsi="黑体" w:eastAsia="黑体" w:cs="黑体"/>
                          <w:b w:val="0"/>
                          <w:bCs/>
                          <w:color w:val="auto"/>
                          <w:sz w:val="28"/>
                          <w:szCs w:val="28"/>
                        </w:rPr>
                        <w:t>Equipping and Managing of the Measuring Instrument</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for Monitoring</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 xml:space="preserve">in </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High energy consumption</w:t>
                      </w:r>
                      <w:r>
                        <w:rPr>
                          <w:rFonts w:hint="eastAsia" w:ascii="黑体" w:hAnsi="黑体" w:eastAsia="黑体" w:cs="黑体"/>
                          <w:b w:val="0"/>
                          <w:bCs/>
                          <w:color w:val="auto"/>
                          <w:sz w:val="28"/>
                          <w:szCs w:val="28"/>
                          <w:lang w:val="en-US" w:eastAsia="zh-CN"/>
                        </w:rPr>
                        <w:t xml:space="preserve"> and H</w:t>
                      </w:r>
                      <w:r>
                        <w:rPr>
                          <w:rFonts w:hint="eastAsia" w:ascii="黑体" w:hAnsi="黑体" w:eastAsia="黑体" w:cs="黑体"/>
                          <w:b w:val="0"/>
                          <w:bCs/>
                          <w:color w:val="auto"/>
                          <w:sz w:val="28"/>
                          <w:szCs w:val="28"/>
                        </w:rPr>
                        <w:t>igh emissions</w:t>
                      </w:r>
                      <w:r>
                        <w:rPr>
                          <w:rFonts w:hint="eastAsia" w:ascii="黑体" w:hAnsi="黑体" w:eastAsia="黑体" w:cs="黑体"/>
                          <w:b w:val="0"/>
                          <w:bCs/>
                          <w:color w:val="auto"/>
                          <w:sz w:val="28"/>
                          <w:szCs w:val="28"/>
                          <w:lang w:val="en-US" w:eastAsia="zh-CN"/>
                        </w:rPr>
                        <w:t xml:space="preserve"> E</w:t>
                      </w:r>
                      <w:r>
                        <w:rPr>
                          <w:rFonts w:hint="eastAsia" w:ascii="黑体" w:hAnsi="黑体" w:eastAsia="黑体" w:cs="黑体"/>
                          <w:b w:val="0"/>
                          <w:bCs/>
                          <w:color w:val="auto"/>
                          <w:sz w:val="28"/>
                          <w:szCs w:val="28"/>
                        </w:rPr>
                        <w:t>nterprise</w:t>
                      </w:r>
                    </w:p>
                  </w:txbxContent>
                </v:textbox>
              </v:shap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59264" behindDoc="1" locked="0" layoutInCell="0" allowOverlap="1">
                <wp:simplePos x="0" y="0"/>
                <wp:positionH relativeFrom="page">
                  <wp:posOffset>923925</wp:posOffset>
                </wp:positionH>
                <wp:positionV relativeFrom="page">
                  <wp:posOffset>2840990</wp:posOffset>
                </wp:positionV>
                <wp:extent cx="5868035" cy="0"/>
                <wp:effectExtent l="9525" t="12065" r="8890" b="6985"/>
                <wp:wrapNone/>
                <wp:docPr id="36" name="任意多边形 4"/>
                <wp:cNvGraphicFramePr/>
                <a:graphic xmlns:a="http://schemas.openxmlformats.org/drawingml/2006/main">
                  <a:graphicData uri="http://schemas.microsoft.com/office/word/2010/wordprocessingShape">
                    <wps:wsp>
                      <wps:cNvSpPr/>
                      <wps:spPr bwMode="auto">
                        <a:xfrm>
                          <a:off x="0" y="0"/>
                          <a:ext cx="5868035" cy="0"/>
                        </a:xfrm>
                        <a:custGeom>
                          <a:avLst/>
                          <a:gdLst>
                            <a:gd name="T0" fmla="*/ 0 w 9241"/>
                            <a:gd name="T1" fmla="*/ 0 h 20"/>
                            <a:gd name="T2" fmla="*/ 9241 w 9241"/>
                            <a:gd name="T3" fmla="*/ 0 h 20"/>
                          </a:gdLst>
                          <a:ahLst/>
                          <a:cxnLst>
                            <a:cxn ang="0">
                              <a:pos x="T0" y="T1"/>
                            </a:cxn>
                            <a:cxn ang="0">
                              <a:pos x="T2" y="T3"/>
                            </a:cxn>
                          </a:cxnLst>
                          <a:rect l="0" t="0" r="r" b="b"/>
                          <a:pathLst>
                            <a:path w="9241" h="20">
                              <a:moveTo>
                                <a:pt x="0" y="0"/>
                              </a:moveTo>
                              <a:lnTo>
                                <a:pt x="9241" y="0"/>
                              </a:lnTo>
                            </a:path>
                          </a:pathLst>
                        </a:custGeom>
                        <a:noFill/>
                        <a:ln w="12700">
                          <a:solidFill>
                            <a:srgbClr val="000000"/>
                          </a:solidFill>
                          <a:round/>
                        </a:ln>
                      </wps:spPr>
                      <wps:bodyPr rot="0" vert="horz" wrap="square" lIns="91440" tIns="45720" rIns="91440" bIns="45720" anchor="t" anchorCtr="0" upright="1">
                        <a:noAutofit/>
                      </wps:bodyPr>
                    </wps:wsp>
                  </a:graphicData>
                </a:graphic>
              </wp:anchor>
            </w:drawing>
          </mc:Choice>
          <mc:Fallback>
            <w:pict>
              <v:shape id="任意多边形 4" o:spid="_x0000_s1026" o:spt="100" style="position:absolute;left:0pt;margin-left:72.75pt;margin-top:223.7pt;height:0pt;width:462.05pt;mso-position-horizontal-relative:page;mso-position-vertical-relative:page;z-index:-251657216;mso-width-relative:page;mso-height-relative:page;" filled="f" stroked="t" coordsize="9241,20" o:allowincell="f" o:gfxdata="UEsDBAoAAAAAAIdO4kAAAAAAAAAAAAAAAAAEAAAAZHJzL1BLAwQUAAAACACHTuJAz6LExNkAAAAM&#10;AQAADwAAAGRycy9kb3ducmV2LnhtbE2PwUrDQBCG74LvsIzgzW5aklRjNj0oggU9tFH0OMmOSUh2&#10;NmS3aX17tyDo8Z/5+OebfHMyg5hpcp1lBctFBIK4trrjRsFb+XRzC8J5ZI2DZVLwTQ42xeVFjpm2&#10;R97RvPeNCCXsMlTQej9mUrq6JYNuYUfisPuyk0Ef4tRIPeExlJtBrqIolQY7DhdaHOmhpbrfH4yC&#10;7WOPr88v75/4kay2Va/LeVyXSl1fLaN7EJ5O/g+Gs35QhyI4VfbA2okh5DhJAqogjtcxiDMRpXcp&#10;iOp3JItc/n+i+AFQSwMEFAAAAAgAh07iQBBUmNizAgAAxgUAAA4AAABkcnMvZTJvRG9jLnhtbK1U&#10;zW7UMBC+I/EOlo9INNmf/q2arVCrIiR+KnV5AK/jbCI5HmM7my1n7tw5Il4CVfA0FPEYjO1kmy6q&#10;1AN7yI4zk2+++WbGJ6ebWpK1MLYCldHRXkqJUBzySq0y+n5x8fyIEuuYypkEJTJ6LSw9nT99ctLq&#10;mRhDCTIXhiCIsrNWZ7R0Ts+SxPJS1MzugRYKnQWYmjk8mlWSG9Yiei2TcZoeJC2YXBvgwlp8ex6d&#10;tEM0jwGEoqi4OAfe1EK5iGqEZA5LsmWlLZ0HtkUhuHtXFFY4IjOKlbrwxCRoL/0zmZ+w2cowXVa8&#10;o8AeQ2GnpppVCpNuoc6ZY6Qx1T9QdcUNWCjcHoc6iYUERbCKUbqjzVXJtAi1oNRWb0W3/w+Wv11f&#10;GlLlGZ0cUKJYjR3/dXPz+9Pn229f/vz8fvvjK5l6lVptZxh8pS9Nd7JokmX7BnL8hjUOggCbwtRe&#10;CCyNbILO11udxcYRji/3jw6O0sk+Jbz3JWzWf8gb614KCCBs/dq62KIcrSBw3rFcYAuLWmK3niUk&#10;JS05Hk9HXT+3MaN7MSUZ9x3fRowHER7hAaDJICwlPRDSXvXEWNlz5RvVkUWLML9XadBGg/WaeOZY&#10;+CKwRQiM8pU9EIwEffDEl9YHx/8uicEh3x1vE8Z7GeXQzHluPoc3SZvRoBUpM4qC+Pc1rMUCQoTb&#10;aRvmuvNKNYyKKIMeRjd+4fMEutvcnvKgswouKilDa6XyjEbjwzRysSCr3Hs9HWtWyzNpyJr5BQ6/&#10;Toh7YQYalUeBJIqZ+Gn18xnndgn5Nc6qgbj+ePmhUYL5SEmLq59R+6FhRlAiXyncrePRdOrvinCY&#10;7h+iRsQMPcuhhymOUBl1FFvtzTMX75dGm2pVYqZRkFjBC9yRovLzHPhFVt0B1zvo1V1F/v4YnkPU&#10;3fU7/w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lBQAAW0NvbnRlbnRfVHlwZXNdLnhtbFBLAQIUAAoAAAAAAIdO4kAAAAAAAAAAAAAAAAAGAAAA&#10;AAAAAAAAEAAAAAcEAABfcmVscy9QSwECFAAUAAAACACHTuJAihRmPNEAAACUAQAACwAAAAAAAAAB&#10;ACAAAAArBAAAX3JlbHMvLnJlbHNQSwECFAAKAAAAAACHTuJAAAAAAAAAAAAAAAAABAAAAAAAAAAA&#10;ABAAAAAAAAAAZHJzL1BLAQIUABQAAAAIAIdO4kDPosTE2QAAAAwBAAAPAAAAAAAAAAEAIAAAACIA&#10;AABkcnMvZG93bnJldi54bWxQSwECFAAUAAAACACHTuJAEFSY2LMCAADGBQAADgAAAAAAAAABACAA&#10;AAAoAQAAZHJzL2Uyb0RvYy54bWxQSwUGAAAAAAYABgBZAQAATQYAAAAA&#10;" path="m0,0l9241,0e">
                <v:path o:connectlocs="0,0;5868035,0" o:connectangles="0,0"/>
                <v:fill on="f" focussize="0,0"/>
                <v:stroke weight="1pt" color="#000000" joinstyle="round"/>
                <v:imagedata o:title=""/>
                <o:lock v:ext="edit" aspectratio="f"/>
              </v:shape>
            </w:pict>
          </mc:Fallback>
        </mc:AlternateContent>
      </w:r>
    </w:p>
    <w:p w14:paraId="6A3CF89B">
      <w:pPr>
        <w:spacing w:line="200" w:lineRule="exact"/>
        <w:rPr>
          <w:rFonts w:hint="default" w:ascii="Times New Roman" w:hAnsi="Times New Roman" w:eastAsia="Times New Roman" w:cs="Times New Roman"/>
          <w:color w:val="auto"/>
          <w:sz w:val="20"/>
          <w:highlight w:val="none"/>
        </w:rPr>
      </w:pPr>
    </w:p>
    <w:p w14:paraId="285AA20B">
      <w:pPr>
        <w:spacing w:line="200" w:lineRule="exact"/>
        <w:rPr>
          <w:rFonts w:hint="default" w:ascii="Times New Roman" w:hAnsi="Times New Roman" w:eastAsia="Times New Roman" w:cs="Times New Roman"/>
          <w:color w:val="auto"/>
          <w:sz w:val="20"/>
          <w:highlight w:val="none"/>
        </w:rPr>
      </w:pPr>
    </w:p>
    <w:p w14:paraId="724DD3C2">
      <w:pPr>
        <w:spacing w:line="200" w:lineRule="exact"/>
        <w:rPr>
          <w:rFonts w:hint="default" w:ascii="Times New Roman" w:hAnsi="Times New Roman" w:eastAsia="Times New Roman" w:cs="Times New Roman"/>
          <w:color w:val="auto"/>
          <w:sz w:val="20"/>
          <w:highlight w:val="none"/>
        </w:rPr>
      </w:pPr>
    </w:p>
    <w:p w14:paraId="124A09CE">
      <w:pPr>
        <w:spacing w:line="200" w:lineRule="exact"/>
        <w:rPr>
          <w:rFonts w:hint="default" w:ascii="Times New Roman" w:hAnsi="Times New Roman" w:eastAsia="Times New Roman" w:cs="Times New Roman"/>
          <w:color w:val="auto"/>
          <w:sz w:val="20"/>
          <w:highlight w:val="none"/>
        </w:rPr>
      </w:pPr>
    </w:p>
    <w:p w14:paraId="25A99148">
      <w:pPr>
        <w:spacing w:line="200" w:lineRule="exact"/>
        <w:rPr>
          <w:rFonts w:hint="default" w:ascii="Times New Roman" w:hAnsi="Times New Roman" w:eastAsia="Times New Roman" w:cs="Times New Roman"/>
          <w:color w:val="auto"/>
          <w:sz w:val="20"/>
          <w:highlight w:val="none"/>
        </w:rPr>
      </w:pPr>
    </w:p>
    <w:p w14:paraId="605F82D9">
      <w:pPr>
        <w:spacing w:line="200" w:lineRule="exact"/>
        <w:rPr>
          <w:rFonts w:hint="default" w:ascii="Times New Roman" w:hAnsi="Times New Roman" w:eastAsia="Times New Roman" w:cs="Times New Roman"/>
          <w:color w:val="auto"/>
          <w:sz w:val="20"/>
          <w:highlight w:val="none"/>
        </w:rPr>
      </w:pPr>
    </w:p>
    <w:p w14:paraId="76197CD3">
      <w:pPr>
        <w:spacing w:line="200" w:lineRule="exact"/>
        <w:rPr>
          <w:rFonts w:hint="default" w:ascii="Times New Roman" w:hAnsi="Times New Roman" w:eastAsia="Times New Roman" w:cs="Times New Roman"/>
          <w:color w:val="auto"/>
          <w:sz w:val="20"/>
          <w:highlight w:val="none"/>
        </w:rPr>
      </w:pPr>
    </w:p>
    <w:p w14:paraId="7AA7883C">
      <w:pPr>
        <w:spacing w:line="200" w:lineRule="exact"/>
        <w:rPr>
          <w:rFonts w:hint="default" w:ascii="Times New Roman" w:hAnsi="Times New Roman" w:eastAsia="Times New Roman" w:cs="Times New Roman"/>
          <w:color w:val="auto"/>
          <w:sz w:val="20"/>
          <w:highlight w:val="none"/>
        </w:rPr>
      </w:pPr>
    </w:p>
    <w:p w14:paraId="78EB1825">
      <w:pPr>
        <w:spacing w:line="200" w:lineRule="exact"/>
        <w:rPr>
          <w:rFonts w:hint="default" w:ascii="Times New Roman" w:hAnsi="Times New Roman" w:eastAsia="Times New Roman" w:cs="Times New Roman"/>
          <w:color w:val="auto"/>
          <w:sz w:val="20"/>
          <w:highlight w:val="none"/>
        </w:rPr>
      </w:pPr>
    </w:p>
    <w:p w14:paraId="0829169D">
      <w:pPr>
        <w:spacing w:line="200" w:lineRule="exact"/>
        <w:rPr>
          <w:rFonts w:hint="default" w:ascii="Times New Roman" w:hAnsi="Times New Roman" w:eastAsia="Times New Roman" w:cs="Times New Roman"/>
          <w:color w:val="auto"/>
          <w:sz w:val="20"/>
          <w:highlight w:val="none"/>
        </w:rPr>
      </w:pPr>
    </w:p>
    <w:p w14:paraId="32078DF7">
      <w:pPr>
        <w:spacing w:line="200" w:lineRule="exact"/>
        <w:rPr>
          <w:rFonts w:hint="default" w:ascii="Times New Roman" w:hAnsi="Times New Roman" w:eastAsia="Times New Roman" w:cs="Times New Roman"/>
          <w:color w:val="auto"/>
          <w:sz w:val="20"/>
          <w:highlight w:val="none"/>
        </w:rPr>
      </w:pPr>
    </w:p>
    <w:p w14:paraId="5A0E1612">
      <w:pPr>
        <w:spacing w:line="200" w:lineRule="exact"/>
        <w:rPr>
          <w:rFonts w:hint="default" w:ascii="Times New Roman" w:hAnsi="Times New Roman" w:eastAsia="Times New Roman" w:cs="Times New Roman"/>
          <w:color w:val="auto"/>
          <w:sz w:val="20"/>
          <w:highlight w:val="none"/>
        </w:rPr>
      </w:pPr>
    </w:p>
    <w:p w14:paraId="2399D24A">
      <w:pPr>
        <w:spacing w:line="200" w:lineRule="exact"/>
        <w:rPr>
          <w:rFonts w:hint="default" w:ascii="Times New Roman" w:hAnsi="Times New Roman" w:eastAsia="Times New Roman" w:cs="Times New Roman"/>
          <w:color w:val="auto"/>
          <w:sz w:val="20"/>
          <w:highlight w:val="none"/>
        </w:rPr>
      </w:pPr>
    </w:p>
    <w:p w14:paraId="361DD450">
      <w:pPr>
        <w:spacing w:line="200" w:lineRule="exact"/>
        <w:rPr>
          <w:rFonts w:hint="default" w:ascii="Times New Roman" w:hAnsi="Times New Roman" w:eastAsia="Times New Roman" w:cs="Times New Roman"/>
          <w:color w:val="auto"/>
          <w:sz w:val="20"/>
          <w:highlight w:val="none"/>
        </w:rPr>
      </w:pPr>
    </w:p>
    <w:p w14:paraId="2951D02D">
      <w:pPr>
        <w:spacing w:line="200" w:lineRule="exact"/>
        <w:rPr>
          <w:rFonts w:hint="default" w:ascii="Times New Roman" w:hAnsi="Times New Roman" w:eastAsia="Times New Roman" w:cs="Times New Roman"/>
          <w:color w:val="auto"/>
          <w:sz w:val="20"/>
          <w:highlight w:val="none"/>
        </w:rPr>
      </w:pPr>
    </w:p>
    <w:p w14:paraId="2910A4B2">
      <w:pPr>
        <w:spacing w:line="200" w:lineRule="exact"/>
        <w:rPr>
          <w:rFonts w:hint="default" w:ascii="Times New Roman" w:hAnsi="Times New Roman" w:eastAsia="Times New Roman" w:cs="Times New Roman"/>
          <w:color w:val="auto"/>
          <w:sz w:val="20"/>
          <w:highlight w:val="none"/>
        </w:rPr>
      </w:pPr>
    </w:p>
    <w:p w14:paraId="5E37571B">
      <w:pPr>
        <w:pStyle w:val="2"/>
        <w:rPr>
          <w:rFonts w:hint="default" w:ascii="Times New Roman" w:hAnsi="Times New Roman" w:eastAsia="Times New Roman" w:cs="Times New Roman"/>
          <w:color w:val="auto"/>
          <w:sz w:val="20"/>
          <w:highlight w:val="none"/>
        </w:rPr>
      </w:pPr>
    </w:p>
    <w:p w14:paraId="13FBA6F3">
      <w:pPr>
        <w:pStyle w:val="2"/>
        <w:rPr>
          <w:rFonts w:hint="default" w:ascii="Times New Roman" w:hAnsi="Times New Roman" w:eastAsia="Times New Roman" w:cs="Times New Roman"/>
          <w:color w:val="auto"/>
          <w:sz w:val="20"/>
          <w:highlight w:val="none"/>
        </w:rPr>
      </w:pPr>
    </w:p>
    <w:p w14:paraId="67132372">
      <w:pPr>
        <w:spacing w:line="200" w:lineRule="exact"/>
        <w:rPr>
          <w:rFonts w:hint="default" w:ascii="Times New Roman" w:hAnsi="Times New Roman" w:eastAsia="Times New Roman" w:cs="Times New Roman"/>
          <w:color w:val="auto"/>
          <w:sz w:val="20"/>
          <w:highlight w:val="none"/>
        </w:rPr>
      </w:pPr>
    </w:p>
    <w:p w14:paraId="0F853198">
      <w:pPr>
        <w:spacing w:line="200" w:lineRule="exact"/>
        <w:rPr>
          <w:rFonts w:hint="default" w:ascii="Times New Roman" w:hAnsi="Times New Roman" w:eastAsia="Times New Roman" w:cs="Times New Roman"/>
          <w:color w:val="auto"/>
          <w:sz w:val="20"/>
          <w:highlight w:val="none"/>
        </w:rPr>
      </w:pPr>
    </w:p>
    <w:p w14:paraId="6A6431C4">
      <w:pPr>
        <w:spacing w:line="200" w:lineRule="exact"/>
        <w:rPr>
          <w:rFonts w:hint="default" w:ascii="Times New Roman" w:hAnsi="Times New Roman" w:eastAsia="Times New Roman" w:cs="Times New Roman"/>
          <w:color w:val="auto"/>
          <w:sz w:val="20"/>
          <w:highlight w:val="none"/>
        </w:rPr>
      </w:pPr>
    </w:p>
    <w:p w14:paraId="6AEE607A">
      <w:pPr>
        <w:spacing w:line="200" w:lineRule="exact"/>
        <w:rPr>
          <w:rFonts w:hint="default" w:ascii="Times New Roman" w:hAnsi="Times New Roman" w:eastAsia="Times New Roman" w:cs="Times New Roman"/>
          <w:color w:val="auto"/>
          <w:sz w:val="20"/>
          <w:highlight w:val="none"/>
        </w:rPr>
      </w:pPr>
    </w:p>
    <w:p w14:paraId="4F677D05">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textAlignment w:val="auto"/>
        <w:rPr>
          <w:rFonts w:hint="default" w:ascii="Times New Roman" w:hAnsi="Times New Roman" w:eastAsia="Times New Roman" w:cs="Times New Roman"/>
          <w:color w:val="auto"/>
          <w:highlight w:val="none"/>
        </w:rPr>
      </w:pPr>
    </w:p>
    <w:p w14:paraId="52D11EAE">
      <w:pPr>
        <w:keepNext w:val="0"/>
        <w:keepLines w:val="0"/>
        <w:pageBreakBefore w:val="0"/>
        <w:widowControl w:val="0"/>
        <w:kinsoku/>
        <w:wordWrap/>
        <w:overflowPunct/>
        <w:topLinePunct w:val="0"/>
        <w:autoSpaceDE w:val="0"/>
        <w:autoSpaceDN w:val="0"/>
        <w:bidi w:val="0"/>
        <w:adjustRightInd w:val="0"/>
        <w:snapToGrid/>
        <w:spacing w:line="480" w:lineRule="auto"/>
        <w:textAlignment w:val="auto"/>
        <w:rPr>
          <w:rFonts w:hint="default" w:ascii="Times New Roman" w:hAnsi="Times New Roman" w:eastAsia="黑体" w:cs="Times New Roman"/>
          <w:color w:val="auto"/>
          <w:sz w:val="28"/>
          <w:highlight w:val="none"/>
        </w:rPr>
      </w:pPr>
    </w:p>
    <w:p w14:paraId="7F3CB509">
      <w:pPr>
        <w:keepNext w:val="0"/>
        <w:keepLines w:val="0"/>
        <w:pageBreakBefore w:val="0"/>
        <w:widowControl w:val="0"/>
        <w:kinsoku/>
        <w:wordWrap/>
        <w:overflowPunct/>
        <w:topLinePunct w:val="0"/>
        <w:autoSpaceDE w:val="0"/>
        <w:autoSpaceDN w:val="0"/>
        <w:bidi w:val="0"/>
        <w:adjustRightInd w:val="0"/>
        <w:snapToGrid/>
        <w:spacing w:line="480" w:lineRule="auto"/>
        <w:textAlignment w:val="auto"/>
        <w:rPr>
          <w:rFonts w:hint="default" w:ascii="Times New Roman" w:hAnsi="Times New Roman" w:eastAsia="黑体" w:cs="Times New Roman"/>
          <w:color w:val="auto"/>
          <w:spacing w:val="-3"/>
          <w:sz w:val="28"/>
          <w:highlight w:val="none"/>
        </w:rPr>
      </w:pPr>
    </w:p>
    <w:tbl>
      <w:tblPr>
        <w:tblStyle w:val="16"/>
        <w:tblW w:w="0" w:type="auto"/>
        <w:tblInd w:w="14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4425"/>
      </w:tblGrid>
      <w:tr w14:paraId="55C6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550" w:type="dxa"/>
            <w:tcBorders>
              <w:top w:val="nil"/>
              <w:left w:val="nil"/>
              <w:bottom w:val="nil"/>
              <w:right w:val="nil"/>
            </w:tcBorders>
          </w:tcPr>
          <w:p w14:paraId="1759AA1B">
            <w:pPr>
              <w:keepNext w:val="0"/>
              <w:keepLines w:val="0"/>
              <w:pageBreakBefore w:val="0"/>
              <w:widowControl w:val="0"/>
              <w:kinsoku/>
              <w:wordWrap/>
              <w:overflowPunct/>
              <w:topLinePunct w:val="0"/>
              <w:autoSpaceDE w:val="0"/>
              <w:autoSpaceDN w:val="0"/>
              <w:bidi w:val="0"/>
              <w:adjustRightInd/>
              <w:snapToGrid/>
              <w:jc w:val="distribute"/>
              <w:textAlignment w:val="auto"/>
              <w:outlineLvl w:val="9"/>
              <w:rPr>
                <w:rFonts w:hint="default"/>
                <w:vertAlign w:val="baseline"/>
              </w:rPr>
            </w:pPr>
            <w:r>
              <w:rPr>
                <w:rFonts w:hint="default" w:ascii="Times New Roman" w:hAnsi="Times New Roman" w:eastAsia="黑体" w:cs="Times New Roman"/>
                <w:b/>
                <w:bCs/>
                <w:color w:val="auto"/>
                <w:sz w:val="28"/>
                <w:highlight w:val="none"/>
              </w:rPr>
              <w:t xml:space="preserve">归 </w:t>
            </w:r>
            <w:r>
              <w:rPr>
                <w:rFonts w:hint="default" w:ascii="Times New Roman" w:hAnsi="Times New Roman" w:eastAsia="黑体" w:cs="Times New Roman"/>
                <w:b/>
                <w:bCs/>
                <w:color w:val="auto"/>
                <w:spacing w:val="-1"/>
                <w:sz w:val="28"/>
                <w:highlight w:val="none"/>
              </w:rPr>
              <w:t xml:space="preserve">  </w:t>
            </w:r>
            <w:r>
              <w:rPr>
                <w:rFonts w:hint="default" w:ascii="Times New Roman" w:hAnsi="Times New Roman" w:eastAsia="黑体" w:cs="Times New Roman"/>
                <w:b/>
                <w:bCs/>
                <w:color w:val="auto"/>
                <w:sz w:val="28"/>
                <w:highlight w:val="none"/>
              </w:rPr>
              <w:t xml:space="preserve">口 </w:t>
            </w:r>
            <w:r>
              <w:rPr>
                <w:rFonts w:hint="default" w:ascii="Times New Roman" w:hAnsi="Times New Roman" w:eastAsia="黑体" w:cs="Times New Roman"/>
                <w:b/>
                <w:bCs/>
                <w:color w:val="auto"/>
                <w:spacing w:val="-1"/>
                <w:sz w:val="28"/>
                <w:highlight w:val="none"/>
              </w:rPr>
              <w:t xml:space="preserve"> </w:t>
            </w:r>
            <w:r>
              <w:rPr>
                <w:rFonts w:hint="default" w:ascii="Times New Roman" w:hAnsi="Times New Roman" w:eastAsia="黑体" w:cs="Times New Roman"/>
                <w:b/>
                <w:bCs/>
                <w:color w:val="auto"/>
                <w:sz w:val="28"/>
                <w:highlight w:val="none"/>
              </w:rPr>
              <w:t>单</w:t>
            </w:r>
            <w:r>
              <w:rPr>
                <w:rFonts w:hint="default" w:ascii="Times New Roman" w:hAnsi="Times New Roman" w:eastAsia="黑体" w:cs="Times New Roman"/>
                <w:b/>
                <w:bCs/>
                <w:color w:val="auto"/>
                <w:spacing w:val="-1"/>
                <w:sz w:val="28"/>
                <w:highlight w:val="none"/>
              </w:rPr>
              <w:t xml:space="preserve">  </w:t>
            </w:r>
            <w:r>
              <w:rPr>
                <w:rFonts w:hint="default" w:ascii="Times New Roman" w:hAnsi="Times New Roman" w:eastAsia="黑体" w:cs="Times New Roman"/>
                <w:b/>
                <w:bCs/>
                <w:color w:val="auto"/>
                <w:sz w:val="28"/>
                <w:highlight w:val="none"/>
              </w:rPr>
              <w:t>位</w:t>
            </w:r>
            <w:r>
              <w:rPr>
                <w:rFonts w:hint="default" w:ascii="Times New Roman" w:hAnsi="Times New Roman" w:eastAsia="黑体" w:cs="Times New Roman"/>
                <w:color w:val="auto"/>
                <w:sz w:val="28"/>
                <w:highlight w:val="none"/>
              </w:rPr>
              <w:t xml:space="preserve"> ：</w:t>
            </w:r>
          </w:p>
        </w:tc>
        <w:tc>
          <w:tcPr>
            <w:tcW w:w="4425" w:type="dxa"/>
            <w:tcBorders>
              <w:top w:val="nil"/>
              <w:left w:val="nil"/>
              <w:bottom w:val="nil"/>
              <w:right w:val="nil"/>
            </w:tcBorders>
          </w:tcPr>
          <w:p w14:paraId="26107035">
            <w:pPr>
              <w:keepNext w:val="0"/>
              <w:keepLines w:val="0"/>
              <w:pageBreakBefore w:val="0"/>
              <w:widowControl w:val="0"/>
              <w:kinsoku/>
              <w:wordWrap/>
              <w:overflowPunct/>
              <w:topLinePunct w:val="0"/>
              <w:autoSpaceDE w:val="0"/>
              <w:autoSpaceDN w:val="0"/>
              <w:bidi w:val="0"/>
              <w:adjustRightInd/>
              <w:snapToGrid/>
              <w:textAlignment w:val="auto"/>
              <w:outlineLvl w:val="9"/>
              <w:rPr>
                <w:rFonts w:hint="eastAsia" w:asciiTheme="minorEastAsia" w:hAnsiTheme="minorEastAsia" w:eastAsiaTheme="minorEastAsia" w:cstheme="minorEastAsia"/>
                <w:b w:val="0"/>
                <w:bCs w:val="0"/>
                <w:vertAlign w:val="baseline"/>
              </w:rPr>
            </w:pPr>
            <w:r>
              <w:rPr>
                <w:rFonts w:hint="eastAsia" w:asciiTheme="minorEastAsia" w:hAnsiTheme="minorEastAsia" w:eastAsiaTheme="minorEastAsia" w:cstheme="minorEastAsia"/>
                <w:b w:val="0"/>
                <w:bCs w:val="0"/>
                <w:color w:val="auto"/>
                <w:sz w:val="28"/>
                <w:highlight w:val="none"/>
              </w:rPr>
              <w:t>安徽省能源计量</w:t>
            </w:r>
            <w:r>
              <w:rPr>
                <w:rFonts w:hint="eastAsia" w:asciiTheme="minorEastAsia" w:hAnsiTheme="minorEastAsia" w:eastAsiaTheme="minorEastAsia" w:cstheme="minorEastAsia"/>
                <w:b w:val="0"/>
                <w:bCs w:val="0"/>
                <w:color w:val="auto"/>
                <w:sz w:val="28"/>
                <w:highlight w:val="none"/>
                <w:lang w:eastAsia="zh-CN"/>
              </w:rPr>
              <w:t>技术</w:t>
            </w:r>
            <w:r>
              <w:rPr>
                <w:rFonts w:hint="eastAsia" w:asciiTheme="minorEastAsia" w:hAnsiTheme="minorEastAsia" w:eastAsiaTheme="minorEastAsia" w:cstheme="minorEastAsia"/>
                <w:b w:val="0"/>
                <w:bCs w:val="0"/>
                <w:color w:val="auto"/>
                <w:sz w:val="28"/>
                <w:highlight w:val="none"/>
              </w:rPr>
              <w:t>委员会</w:t>
            </w:r>
          </w:p>
        </w:tc>
      </w:tr>
      <w:tr w14:paraId="1A02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550" w:type="dxa"/>
            <w:tcBorders>
              <w:top w:val="nil"/>
              <w:left w:val="nil"/>
              <w:bottom w:val="nil"/>
              <w:right w:val="nil"/>
            </w:tcBorders>
          </w:tcPr>
          <w:p w14:paraId="084C1AA8">
            <w:pPr>
              <w:keepNext w:val="0"/>
              <w:keepLines w:val="0"/>
              <w:pageBreakBefore w:val="0"/>
              <w:widowControl w:val="0"/>
              <w:kinsoku/>
              <w:wordWrap/>
              <w:overflowPunct/>
              <w:topLinePunct w:val="0"/>
              <w:autoSpaceDE w:val="0"/>
              <w:autoSpaceDN w:val="0"/>
              <w:bidi w:val="0"/>
              <w:adjustRightInd/>
              <w:snapToGrid/>
              <w:jc w:val="distribute"/>
              <w:textAlignment w:val="auto"/>
              <w:outlineLvl w:val="9"/>
              <w:rPr>
                <w:rFonts w:hint="default"/>
                <w:vertAlign w:val="baseline"/>
              </w:rPr>
            </w:pPr>
            <w:r>
              <w:rPr>
                <w:rFonts w:hint="default" w:ascii="Times New Roman" w:hAnsi="Times New Roman" w:eastAsia="黑体" w:cs="Times New Roman"/>
                <w:b/>
                <w:bCs/>
                <w:color w:val="auto"/>
                <w:sz w:val="28"/>
                <w:highlight w:val="none"/>
              </w:rPr>
              <w:t>主要起</w:t>
            </w:r>
            <w:r>
              <w:rPr>
                <w:rFonts w:hint="default" w:ascii="Times New Roman" w:hAnsi="Times New Roman" w:eastAsia="黑体" w:cs="Times New Roman"/>
                <w:b/>
                <w:bCs/>
                <w:color w:val="auto"/>
                <w:spacing w:val="-3"/>
                <w:sz w:val="28"/>
                <w:highlight w:val="none"/>
              </w:rPr>
              <w:t>草</w:t>
            </w:r>
            <w:r>
              <w:rPr>
                <w:rFonts w:hint="default" w:ascii="Times New Roman" w:hAnsi="Times New Roman" w:eastAsia="黑体" w:cs="Times New Roman"/>
                <w:b/>
                <w:bCs/>
                <w:color w:val="auto"/>
                <w:sz w:val="28"/>
                <w:highlight w:val="none"/>
              </w:rPr>
              <w:t>单位</w:t>
            </w:r>
            <w:r>
              <w:rPr>
                <w:rFonts w:hint="default" w:ascii="Times New Roman" w:hAnsi="Times New Roman" w:eastAsia="黑体" w:cs="Times New Roman"/>
                <w:color w:val="auto"/>
                <w:spacing w:val="-3"/>
                <w:sz w:val="28"/>
                <w:highlight w:val="none"/>
              </w:rPr>
              <w:t>：</w:t>
            </w:r>
          </w:p>
        </w:tc>
        <w:tc>
          <w:tcPr>
            <w:tcW w:w="4425" w:type="dxa"/>
            <w:tcBorders>
              <w:top w:val="nil"/>
              <w:left w:val="nil"/>
              <w:bottom w:val="nil"/>
              <w:right w:val="nil"/>
            </w:tcBorders>
          </w:tcPr>
          <w:p w14:paraId="65E1E91F">
            <w:pPr>
              <w:keepNext w:val="0"/>
              <w:keepLines w:val="0"/>
              <w:pageBreakBefore w:val="0"/>
              <w:widowControl w:val="0"/>
              <w:kinsoku/>
              <w:wordWrap/>
              <w:overflowPunct/>
              <w:topLinePunct w:val="0"/>
              <w:autoSpaceDE w:val="0"/>
              <w:autoSpaceDN w:val="0"/>
              <w:bidi w:val="0"/>
              <w:adjustRightInd/>
              <w:snapToGrid/>
              <w:textAlignment w:val="auto"/>
              <w:outlineLvl w:val="9"/>
              <w:rPr>
                <w:rFonts w:hint="eastAsia" w:asciiTheme="minorEastAsia" w:hAnsiTheme="minorEastAsia" w:eastAsiaTheme="minorEastAsia" w:cstheme="minorEastAsia"/>
                <w:b w:val="0"/>
                <w:bCs w:val="0"/>
                <w:vertAlign w:val="baseline"/>
              </w:rPr>
            </w:pPr>
            <w:r>
              <w:rPr>
                <w:rFonts w:hint="eastAsia" w:asciiTheme="minorEastAsia" w:hAnsiTheme="minorEastAsia" w:eastAsiaTheme="minorEastAsia" w:cstheme="minorEastAsia"/>
                <w:b w:val="0"/>
                <w:bCs w:val="0"/>
                <w:color w:val="auto"/>
                <w:spacing w:val="-3"/>
                <w:sz w:val="28"/>
                <w:highlight w:val="none"/>
              </w:rPr>
              <w:t>安徽省计量</w:t>
            </w:r>
            <w:r>
              <w:rPr>
                <w:rFonts w:hint="eastAsia" w:asciiTheme="minorEastAsia" w:hAnsiTheme="minorEastAsia" w:eastAsiaTheme="minorEastAsia" w:cstheme="minorEastAsia"/>
                <w:b w:val="0"/>
                <w:bCs w:val="0"/>
                <w:color w:val="auto"/>
                <w:sz w:val="28"/>
                <w:highlight w:val="none"/>
              </w:rPr>
              <w:t>科学研</w:t>
            </w:r>
            <w:r>
              <w:rPr>
                <w:rFonts w:hint="eastAsia" w:asciiTheme="minorEastAsia" w:hAnsiTheme="minorEastAsia" w:eastAsiaTheme="minorEastAsia" w:cstheme="minorEastAsia"/>
                <w:b w:val="0"/>
                <w:bCs w:val="0"/>
                <w:color w:val="auto"/>
                <w:spacing w:val="-3"/>
                <w:sz w:val="28"/>
                <w:highlight w:val="none"/>
              </w:rPr>
              <w:t>究</w:t>
            </w:r>
            <w:r>
              <w:rPr>
                <w:rFonts w:hint="eastAsia" w:asciiTheme="minorEastAsia" w:hAnsiTheme="minorEastAsia" w:eastAsiaTheme="minorEastAsia" w:cstheme="minorEastAsia"/>
                <w:b w:val="0"/>
                <w:bCs w:val="0"/>
                <w:color w:val="auto"/>
                <w:sz w:val="28"/>
                <w:highlight w:val="none"/>
              </w:rPr>
              <w:t>院</w:t>
            </w:r>
          </w:p>
        </w:tc>
      </w:tr>
      <w:tr w14:paraId="37F68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550" w:type="dxa"/>
            <w:tcBorders>
              <w:top w:val="nil"/>
              <w:left w:val="nil"/>
              <w:bottom w:val="nil"/>
              <w:right w:val="nil"/>
            </w:tcBorders>
          </w:tcPr>
          <w:p w14:paraId="59B508EE">
            <w:pPr>
              <w:keepNext w:val="0"/>
              <w:keepLines w:val="0"/>
              <w:pageBreakBefore w:val="0"/>
              <w:widowControl w:val="0"/>
              <w:kinsoku/>
              <w:wordWrap/>
              <w:overflowPunct/>
              <w:topLinePunct w:val="0"/>
              <w:autoSpaceDE w:val="0"/>
              <w:autoSpaceDN w:val="0"/>
              <w:bidi w:val="0"/>
              <w:adjustRightInd/>
              <w:snapToGrid/>
              <w:jc w:val="distribute"/>
              <w:textAlignment w:val="auto"/>
              <w:outlineLvl w:val="9"/>
              <w:rPr>
                <w:rFonts w:hint="default"/>
                <w:vertAlign w:val="baseline"/>
              </w:rPr>
            </w:pPr>
          </w:p>
        </w:tc>
        <w:tc>
          <w:tcPr>
            <w:tcW w:w="4425" w:type="dxa"/>
            <w:tcBorders>
              <w:top w:val="nil"/>
              <w:left w:val="nil"/>
              <w:bottom w:val="nil"/>
              <w:right w:val="nil"/>
            </w:tcBorders>
          </w:tcPr>
          <w:p w14:paraId="76164048">
            <w:pPr>
              <w:keepNext w:val="0"/>
              <w:keepLines w:val="0"/>
              <w:pageBreakBefore w:val="0"/>
              <w:widowControl w:val="0"/>
              <w:kinsoku/>
              <w:wordWrap/>
              <w:overflowPunct/>
              <w:topLinePunct w:val="0"/>
              <w:autoSpaceDE w:val="0"/>
              <w:autoSpaceDN w:val="0"/>
              <w:bidi w:val="0"/>
              <w:adjustRightInd/>
              <w:snapToGrid/>
              <w:textAlignment w:val="auto"/>
              <w:outlineLvl w:val="9"/>
              <w:rPr>
                <w:rFonts w:hint="eastAsia" w:asciiTheme="minorEastAsia" w:hAnsiTheme="minorEastAsia" w:eastAsiaTheme="minorEastAsia" w:cstheme="minorEastAsia"/>
                <w:b w:val="0"/>
                <w:bCs w:val="0"/>
                <w:vertAlign w:val="baseline"/>
              </w:rPr>
            </w:pPr>
            <w:r>
              <w:rPr>
                <w:rFonts w:hint="eastAsia" w:asciiTheme="minorEastAsia" w:hAnsiTheme="minorEastAsia" w:eastAsiaTheme="minorEastAsia" w:cstheme="minorEastAsia"/>
                <w:b w:val="0"/>
                <w:bCs w:val="0"/>
                <w:color w:val="auto"/>
                <w:spacing w:val="-3"/>
                <w:sz w:val="28"/>
                <w:highlight w:val="none"/>
              </w:rPr>
              <w:t>浙江华验计量检测技术有限公司</w:t>
            </w:r>
          </w:p>
        </w:tc>
      </w:tr>
      <w:tr w14:paraId="0840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550" w:type="dxa"/>
            <w:tcBorders>
              <w:top w:val="nil"/>
              <w:left w:val="nil"/>
              <w:bottom w:val="nil"/>
              <w:right w:val="nil"/>
            </w:tcBorders>
          </w:tcPr>
          <w:p w14:paraId="167B10F9">
            <w:pPr>
              <w:keepNext w:val="0"/>
              <w:keepLines w:val="0"/>
              <w:pageBreakBefore w:val="0"/>
              <w:widowControl w:val="0"/>
              <w:kinsoku/>
              <w:wordWrap/>
              <w:overflowPunct/>
              <w:topLinePunct w:val="0"/>
              <w:autoSpaceDE w:val="0"/>
              <w:autoSpaceDN w:val="0"/>
              <w:bidi w:val="0"/>
              <w:adjustRightInd/>
              <w:snapToGrid/>
              <w:jc w:val="distribute"/>
              <w:textAlignment w:val="auto"/>
              <w:outlineLvl w:val="9"/>
              <w:rPr>
                <w:rFonts w:hint="default"/>
                <w:vertAlign w:val="baseline"/>
              </w:rPr>
            </w:pPr>
            <w:r>
              <w:rPr>
                <w:rFonts w:hint="default" w:ascii="Times New Roman" w:hAnsi="Times New Roman" w:eastAsia="黑体" w:cs="Times New Roman"/>
                <w:b/>
                <w:bCs/>
                <w:color w:val="auto"/>
                <w:spacing w:val="-20"/>
                <w:sz w:val="28"/>
                <w:highlight w:val="none"/>
              </w:rPr>
              <w:t>参加起草单位：</w:t>
            </w:r>
          </w:p>
        </w:tc>
        <w:tc>
          <w:tcPr>
            <w:tcW w:w="4425" w:type="dxa"/>
            <w:tcBorders>
              <w:top w:val="nil"/>
              <w:left w:val="nil"/>
              <w:bottom w:val="nil"/>
              <w:right w:val="nil"/>
            </w:tcBorders>
          </w:tcPr>
          <w:p w14:paraId="54D44E89">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heme="minorEastAsia" w:hAnsiTheme="minorEastAsia" w:eastAsiaTheme="minorEastAsia" w:cstheme="minorEastAsia"/>
                <w:b w:val="0"/>
                <w:bCs w:val="0"/>
                <w:vertAlign w:val="baseline"/>
              </w:rPr>
            </w:pPr>
            <w:r>
              <w:rPr>
                <w:rFonts w:hint="eastAsia" w:asciiTheme="minorEastAsia" w:hAnsiTheme="minorEastAsia" w:eastAsiaTheme="minorEastAsia" w:cstheme="minorEastAsia"/>
                <w:b w:val="0"/>
                <w:bCs w:val="0"/>
                <w:color w:val="auto"/>
                <w:spacing w:val="-3"/>
                <w:sz w:val="28"/>
                <w:highlight w:val="none"/>
                <w:lang w:val="en-US" w:eastAsia="zh-CN"/>
              </w:rPr>
              <w:t>合肥市计量测试中心</w:t>
            </w:r>
          </w:p>
        </w:tc>
      </w:tr>
      <w:tr w14:paraId="2731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550" w:type="dxa"/>
            <w:tcBorders>
              <w:top w:val="nil"/>
              <w:left w:val="nil"/>
              <w:bottom w:val="nil"/>
              <w:right w:val="nil"/>
            </w:tcBorders>
          </w:tcPr>
          <w:p w14:paraId="1C302A38">
            <w:pPr>
              <w:keepNext w:val="0"/>
              <w:keepLines w:val="0"/>
              <w:pageBreakBefore w:val="0"/>
              <w:widowControl w:val="0"/>
              <w:kinsoku/>
              <w:wordWrap/>
              <w:overflowPunct/>
              <w:topLinePunct w:val="0"/>
              <w:autoSpaceDE w:val="0"/>
              <w:autoSpaceDN w:val="0"/>
              <w:bidi w:val="0"/>
              <w:adjustRightInd/>
              <w:snapToGrid/>
              <w:jc w:val="distribute"/>
              <w:textAlignment w:val="auto"/>
              <w:outlineLvl w:val="9"/>
              <w:rPr>
                <w:rFonts w:hint="default"/>
                <w:vertAlign w:val="baseline"/>
              </w:rPr>
            </w:pPr>
          </w:p>
        </w:tc>
        <w:tc>
          <w:tcPr>
            <w:tcW w:w="4425" w:type="dxa"/>
            <w:tcBorders>
              <w:top w:val="nil"/>
              <w:left w:val="nil"/>
              <w:bottom w:val="nil"/>
              <w:right w:val="nil"/>
            </w:tcBorders>
          </w:tcPr>
          <w:p w14:paraId="40B30B27">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heme="minorEastAsia" w:hAnsiTheme="minorEastAsia" w:eastAsiaTheme="minorEastAsia" w:cstheme="minorEastAsia"/>
                <w:b w:val="0"/>
                <w:bCs w:val="0"/>
                <w:color w:val="auto"/>
                <w:spacing w:val="-20"/>
                <w:sz w:val="28"/>
                <w:highlight w:val="none"/>
              </w:rPr>
            </w:pPr>
            <w:r>
              <w:rPr>
                <w:rFonts w:hint="eastAsia" w:asciiTheme="minorEastAsia" w:hAnsiTheme="minorEastAsia" w:eastAsiaTheme="minorEastAsia" w:cstheme="minorEastAsia"/>
                <w:b w:val="0"/>
                <w:bCs w:val="0"/>
                <w:color w:val="auto"/>
                <w:spacing w:val="-3"/>
                <w:sz w:val="28"/>
                <w:highlight w:val="none"/>
              </w:rPr>
              <w:t>蚌埠市计量科学研究院</w:t>
            </w:r>
          </w:p>
          <w:p w14:paraId="3E360A2E">
            <w:pPr>
              <w:keepNext w:val="0"/>
              <w:keepLines w:val="0"/>
              <w:pageBreakBefore w:val="0"/>
              <w:widowControl w:val="0"/>
              <w:kinsoku/>
              <w:wordWrap/>
              <w:overflowPunct/>
              <w:topLinePunct w:val="0"/>
              <w:autoSpaceDE w:val="0"/>
              <w:autoSpaceDN w:val="0"/>
              <w:bidi w:val="0"/>
              <w:adjustRightInd/>
              <w:snapToGrid/>
              <w:textAlignment w:val="auto"/>
              <w:outlineLvl w:val="9"/>
              <w:rPr>
                <w:rFonts w:hint="eastAsia" w:asciiTheme="minorEastAsia" w:hAnsiTheme="minorEastAsia" w:eastAsiaTheme="minorEastAsia" w:cstheme="minorEastAsia"/>
                <w:b w:val="0"/>
                <w:bCs w:val="0"/>
                <w:vertAlign w:val="baseline"/>
              </w:rPr>
            </w:pPr>
          </w:p>
        </w:tc>
      </w:tr>
    </w:tbl>
    <w:p w14:paraId="379ECEAD">
      <w:pPr>
        <w:keepNext w:val="0"/>
        <w:keepLines w:val="0"/>
        <w:pageBreakBefore w:val="0"/>
        <w:widowControl w:val="0"/>
        <w:kinsoku/>
        <w:wordWrap/>
        <w:overflowPunct/>
        <w:topLinePunct w:val="0"/>
        <w:autoSpaceDE w:val="0"/>
        <w:autoSpaceDN w:val="0"/>
        <w:bidi w:val="0"/>
        <w:adjustRightInd w:val="0"/>
        <w:snapToGrid/>
        <w:ind w:firstLine="0" w:firstLineChars="0"/>
        <w:textAlignment w:val="auto"/>
        <w:outlineLvl w:val="9"/>
        <w:rPr>
          <w:rFonts w:hint="default"/>
        </w:rPr>
      </w:pPr>
    </w:p>
    <w:p w14:paraId="4DD2E7F8">
      <w:pPr>
        <w:keepNext w:val="0"/>
        <w:keepLines w:val="0"/>
        <w:pageBreakBefore w:val="0"/>
        <w:widowControl w:val="0"/>
        <w:kinsoku/>
        <w:wordWrap/>
        <w:overflowPunct/>
        <w:topLinePunct w:val="0"/>
        <w:autoSpaceDE w:val="0"/>
        <w:autoSpaceDN w:val="0"/>
        <w:bidi w:val="0"/>
        <w:adjustRightInd w:val="0"/>
        <w:snapToGrid/>
        <w:spacing w:line="381" w:lineRule="exact"/>
        <w:ind w:firstLine="0" w:firstLineChars="0"/>
        <w:textAlignment w:val="auto"/>
        <w:rPr>
          <w:rFonts w:hint="default" w:ascii="Times New Roman" w:hAnsi="Times New Roman" w:eastAsia="黑体" w:cs="Times New Roman"/>
          <w:color w:val="auto"/>
          <w:sz w:val="28"/>
          <w:highlight w:val="none"/>
        </w:rPr>
      </w:pPr>
    </w:p>
    <w:p w14:paraId="20043705">
      <w:pPr>
        <w:spacing w:line="200" w:lineRule="exact"/>
        <w:rPr>
          <w:rFonts w:hint="default" w:ascii="Times New Roman" w:hAnsi="Times New Roman" w:eastAsia="Times New Roman" w:cs="Times New Roman"/>
          <w:color w:val="auto"/>
          <w:sz w:val="20"/>
          <w:highlight w:val="none"/>
        </w:rPr>
      </w:pPr>
    </w:p>
    <w:p w14:paraId="4F732A83">
      <w:pPr>
        <w:spacing w:line="200" w:lineRule="exact"/>
        <w:rPr>
          <w:rFonts w:hint="default" w:ascii="Times New Roman" w:hAnsi="Times New Roman" w:eastAsia="Times New Roman" w:cs="Times New Roman"/>
          <w:color w:val="auto"/>
          <w:sz w:val="20"/>
          <w:highlight w:val="none"/>
        </w:rPr>
      </w:pPr>
    </w:p>
    <w:p w14:paraId="050ED414">
      <w:pPr>
        <w:spacing w:line="200" w:lineRule="exact"/>
        <w:rPr>
          <w:rFonts w:hint="default" w:ascii="Times New Roman" w:hAnsi="Times New Roman" w:eastAsia="Times New Roman" w:cs="Times New Roman"/>
          <w:color w:val="auto"/>
          <w:sz w:val="20"/>
          <w:highlight w:val="none"/>
        </w:rPr>
      </w:pPr>
    </w:p>
    <w:p w14:paraId="0EBFB62D">
      <w:pPr>
        <w:spacing w:line="200" w:lineRule="exact"/>
        <w:rPr>
          <w:rFonts w:hint="default" w:ascii="Times New Roman" w:hAnsi="Times New Roman" w:eastAsia="Times New Roman" w:cs="Times New Roman"/>
          <w:color w:val="auto"/>
          <w:sz w:val="20"/>
          <w:highlight w:val="none"/>
        </w:rPr>
      </w:pPr>
    </w:p>
    <w:p w14:paraId="2BAC4976">
      <w:pPr>
        <w:spacing w:line="200" w:lineRule="exact"/>
        <w:rPr>
          <w:rFonts w:hint="default" w:ascii="Times New Roman" w:hAnsi="Times New Roman" w:eastAsia="Times New Roman" w:cs="Times New Roman"/>
          <w:color w:val="auto"/>
          <w:sz w:val="20"/>
          <w:highlight w:val="none"/>
        </w:rPr>
      </w:pPr>
    </w:p>
    <w:p w14:paraId="3BAB093C">
      <w:pPr>
        <w:spacing w:before="3" w:line="280" w:lineRule="exact"/>
        <w:rPr>
          <w:rFonts w:hint="default" w:ascii="Times New Roman" w:hAnsi="Times New Roman" w:eastAsia="Times New Roman" w:cs="Times New Roman"/>
          <w:color w:val="auto"/>
          <w:sz w:val="28"/>
          <w:highlight w:val="none"/>
        </w:rPr>
      </w:pPr>
    </w:p>
    <w:p w14:paraId="57082464">
      <w:pPr>
        <w:ind w:right="267"/>
        <w:jc w:val="center"/>
        <w:rPr>
          <w:rFonts w:hint="default" w:ascii="Times New Roman" w:hAnsi="Times New Roman" w:cs="Times New Roman"/>
          <w:color w:val="auto"/>
          <w:sz w:val="28"/>
          <w:highlight w:val="none"/>
        </w:rPr>
        <w:sectPr>
          <w:type w:val="continuous"/>
          <w:pgSz w:w="11907" w:h="16840"/>
          <w:pgMar w:top="1420" w:right="980" w:bottom="280" w:left="1280" w:header="720" w:footer="720" w:gutter="0"/>
          <w:pgBorders>
            <w:top w:val="none" w:sz="0" w:space="0"/>
            <w:left w:val="none" w:sz="0" w:space="0"/>
            <w:bottom w:val="none" w:sz="0" w:space="0"/>
            <w:right w:val="none" w:sz="0" w:space="0"/>
          </w:pgBorders>
          <w:cols w:space="720" w:num="1"/>
        </w:sectPr>
      </w:pPr>
      <w:r>
        <w:rPr>
          <w:rFonts w:hint="default" w:ascii="Times New Roman" w:hAnsi="Times New Roman" w:cs="Times New Roman"/>
          <w:color w:val="auto"/>
          <w:sz w:val="28"/>
          <w:highlight w:val="none"/>
        </w:rPr>
        <w:t>本规范委托安徽省能源计量技术委员会负责解释</w:t>
      </w:r>
    </w:p>
    <w:p w14:paraId="6C298D2E">
      <w:pPr>
        <w:spacing w:before="4" w:line="130" w:lineRule="exact"/>
        <w:rPr>
          <w:rFonts w:hint="default" w:ascii="Times New Roman" w:hAnsi="Times New Roman" w:eastAsia="Times New Roman" w:cs="Times New Roman"/>
          <w:color w:val="auto"/>
          <w:sz w:val="13"/>
          <w:highlight w:val="none"/>
        </w:rPr>
      </w:pPr>
    </w:p>
    <w:p w14:paraId="46A1E74E">
      <w:pPr>
        <w:spacing w:line="200" w:lineRule="exact"/>
        <w:rPr>
          <w:rFonts w:hint="default" w:ascii="Times New Roman" w:hAnsi="Times New Roman" w:eastAsia="Times New Roman" w:cs="Times New Roman"/>
          <w:color w:val="auto"/>
          <w:sz w:val="20"/>
          <w:highlight w:val="none"/>
        </w:rPr>
      </w:pPr>
    </w:p>
    <w:p w14:paraId="22E77DCA">
      <w:pPr>
        <w:kinsoku w:val="0"/>
        <w:overflowPunct w:val="0"/>
        <w:spacing w:line="200" w:lineRule="exact"/>
        <w:rPr>
          <w:rFonts w:hint="default" w:ascii="Times New Roman" w:hAnsi="Times New Roman" w:eastAsia="Times New Roman" w:cs="Times New Roman"/>
          <w:color w:val="auto"/>
          <w:sz w:val="28"/>
          <w:highlight w:val="none"/>
        </w:rPr>
      </w:pPr>
    </w:p>
    <w:p w14:paraId="65BC7830">
      <w:pPr>
        <w:keepNext w:val="0"/>
        <w:keepLines w:val="0"/>
        <w:pageBreakBefore w:val="0"/>
        <w:widowControl w:val="0"/>
        <w:kinsoku/>
        <w:wordWrap/>
        <w:overflowPunct/>
        <w:topLinePunct w:val="0"/>
        <w:autoSpaceDE w:val="0"/>
        <w:autoSpaceDN w:val="0"/>
        <w:bidi w:val="0"/>
        <w:adjustRightInd w:val="0"/>
        <w:snapToGrid/>
        <w:spacing w:line="360" w:lineRule="auto"/>
        <w:ind w:firstLine="562" w:firstLineChars="200"/>
        <w:textAlignment w:val="auto"/>
        <w:outlineLvl w:val="9"/>
        <w:rPr>
          <w:rFonts w:hint="default" w:ascii="Times New Roman" w:hAnsi="Times New Roman" w:eastAsia="黑体" w:cs="Times New Roman"/>
          <w:b/>
          <w:bCs/>
          <w:color w:val="auto"/>
          <w:sz w:val="28"/>
          <w:highlight w:val="none"/>
        </w:rPr>
      </w:pPr>
    </w:p>
    <w:p w14:paraId="57E522A9">
      <w:pPr>
        <w:keepNext w:val="0"/>
        <w:keepLines w:val="0"/>
        <w:pageBreakBefore w:val="0"/>
        <w:widowControl w:val="0"/>
        <w:kinsoku/>
        <w:wordWrap/>
        <w:overflowPunct/>
        <w:topLinePunct w:val="0"/>
        <w:autoSpaceDE w:val="0"/>
        <w:autoSpaceDN w:val="0"/>
        <w:bidi w:val="0"/>
        <w:adjustRightInd w:val="0"/>
        <w:snapToGrid/>
        <w:spacing w:line="360" w:lineRule="auto"/>
        <w:ind w:firstLine="562" w:firstLineChars="200"/>
        <w:textAlignment w:val="auto"/>
        <w:outlineLvl w:val="9"/>
        <w:rPr>
          <w:rFonts w:hint="eastAsia" w:ascii="Times New Roman" w:hAnsi="Times New Roman" w:eastAsia="黑体" w:cs="Times New Roman"/>
          <w:color w:val="auto"/>
          <w:spacing w:val="-3"/>
          <w:sz w:val="28"/>
          <w:highlight w:val="none"/>
          <w:lang w:eastAsia="zh-CN"/>
        </w:rPr>
      </w:pPr>
      <w:r>
        <w:rPr>
          <w:rFonts w:hint="default" w:ascii="Times New Roman" w:hAnsi="Times New Roman" w:eastAsia="黑体" w:cs="Times New Roman"/>
          <w:b/>
          <w:bCs/>
          <w:color w:val="auto"/>
          <w:sz w:val="28"/>
          <w:highlight w:val="none"/>
        </w:rPr>
        <w:t>本</w:t>
      </w:r>
      <w:r>
        <w:rPr>
          <w:rFonts w:hint="default" w:ascii="Times New Roman" w:hAnsi="Times New Roman" w:eastAsia="黑体" w:cs="Times New Roman"/>
          <w:b/>
          <w:bCs/>
          <w:color w:val="auto"/>
          <w:spacing w:val="-1"/>
          <w:sz w:val="28"/>
          <w:highlight w:val="none"/>
        </w:rPr>
        <w:t>规</w:t>
      </w:r>
      <w:r>
        <w:rPr>
          <w:rFonts w:hint="default" w:ascii="Times New Roman" w:hAnsi="Times New Roman" w:eastAsia="黑体" w:cs="Times New Roman"/>
          <w:b/>
          <w:bCs/>
          <w:color w:val="auto"/>
          <w:sz w:val="28"/>
          <w:highlight w:val="none"/>
        </w:rPr>
        <w:t>范</w:t>
      </w:r>
      <w:r>
        <w:rPr>
          <w:rFonts w:hint="default" w:ascii="Times New Roman" w:hAnsi="Times New Roman" w:eastAsia="黑体" w:cs="Times New Roman"/>
          <w:b/>
          <w:bCs/>
          <w:color w:val="auto"/>
          <w:spacing w:val="-3"/>
          <w:sz w:val="28"/>
          <w:highlight w:val="none"/>
        </w:rPr>
        <w:t>主</w:t>
      </w:r>
      <w:r>
        <w:rPr>
          <w:rFonts w:hint="default" w:ascii="Times New Roman" w:hAnsi="Times New Roman" w:eastAsia="黑体" w:cs="Times New Roman"/>
          <w:b/>
          <w:bCs/>
          <w:color w:val="auto"/>
          <w:sz w:val="28"/>
          <w:highlight w:val="none"/>
        </w:rPr>
        <w:t>要起</w:t>
      </w:r>
      <w:r>
        <w:rPr>
          <w:rFonts w:hint="default" w:ascii="Times New Roman" w:hAnsi="Times New Roman" w:eastAsia="黑体" w:cs="Times New Roman"/>
          <w:b/>
          <w:bCs/>
          <w:color w:val="auto"/>
          <w:spacing w:val="-3"/>
          <w:sz w:val="28"/>
          <w:highlight w:val="none"/>
        </w:rPr>
        <w:t>草人</w:t>
      </w:r>
      <w:r>
        <w:rPr>
          <w:rFonts w:hint="default" w:ascii="Times New Roman" w:hAnsi="Times New Roman" w:eastAsia="黑体" w:cs="Times New Roman"/>
          <w:b/>
          <w:bCs/>
          <w:color w:val="auto"/>
          <w:sz w:val="28"/>
          <w:highlight w:val="none"/>
        </w:rPr>
        <w:t>：</w:t>
      </w:r>
      <w:r>
        <w:rPr>
          <w:rFonts w:hint="eastAsia" w:ascii="Times New Roman" w:hAnsi="Times New Roman" w:eastAsia="黑体" w:cs="Times New Roman"/>
          <w:color w:val="auto"/>
          <w:spacing w:val="-3"/>
          <w:sz w:val="28"/>
          <w:highlight w:val="none"/>
          <w:lang w:eastAsia="zh-CN"/>
        </w:rPr>
        <w:t>孙</w:t>
      </w:r>
      <w:r>
        <w:rPr>
          <w:rFonts w:hint="eastAsia" w:eastAsia="黑体" w:cs="Times New Roman"/>
          <w:color w:val="auto"/>
          <w:spacing w:val="-3"/>
          <w:sz w:val="28"/>
          <w:highlight w:val="none"/>
          <w:lang w:val="en-US" w:eastAsia="zh-CN"/>
        </w:rPr>
        <w:t xml:space="preserve">    </w:t>
      </w:r>
      <w:r>
        <w:rPr>
          <w:rFonts w:hint="eastAsia" w:ascii="Times New Roman" w:hAnsi="Times New Roman" w:eastAsia="黑体" w:cs="Times New Roman"/>
          <w:color w:val="auto"/>
          <w:spacing w:val="-3"/>
          <w:sz w:val="28"/>
          <w:highlight w:val="none"/>
          <w:lang w:eastAsia="zh-CN"/>
        </w:rPr>
        <w:t>锐（安徽省计量科学研究院）</w:t>
      </w:r>
    </w:p>
    <w:p w14:paraId="0229E185">
      <w:pPr>
        <w:keepNext w:val="0"/>
        <w:keepLines w:val="0"/>
        <w:pageBreakBefore w:val="0"/>
        <w:widowControl w:val="0"/>
        <w:kinsoku/>
        <w:wordWrap/>
        <w:overflowPunct/>
        <w:topLinePunct w:val="0"/>
        <w:autoSpaceDE w:val="0"/>
        <w:autoSpaceDN w:val="0"/>
        <w:bidi w:val="0"/>
        <w:adjustRightInd w:val="0"/>
        <w:snapToGrid/>
        <w:spacing w:line="360" w:lineRule="auto"/>
        <w:ind w:firstLine="3014" w:firstLineChars="1100"/>
        <w:textAlignment w:val="auto"/>
        <w:outlineLvl w:val="9"/>
        <w:rPr>
          <w:rFonts w:hint="eastAsia" w:ascii="Times New Roman" w:hAnsi="Times New Roman" w:eastAsia="黑体" w:cs="Times New Roman"/>
          <w:color w:val="auto"/>
          <w:spacing w:val="-3"/>
          <w:sz w:val="28"/>
          <w:highlight w:val="none"/>
          <w:lang w:eastAsia="zh-CN"/>
        </w:rPr>
      </w:pPr>
      <w:r>
        <w:rPr>
          <w:rFonts w:hint="eastAsia" w:eastAsia="黑体" w:cs="Times New Roman"/>
          <w:color w:val="auto"/>
          <w:spacing w:val="-3"/>
          <w:sz w:val="28"/>
          <w:highlight w:val="none"/>
          <w:lang w:eastAsia="zh-CN"/>
        </w:rPr>
        <w:t>张</w:t>
      </w:r>
      <w:r>
        <w:rPr>
          <w:rFonts w:hint="eastAsia" w:eastAsia="黑体" w:cs="Times New Roman"/>
          <w:color w:val="auto"/>
          <w:spacing w:val="-3"/>
          <w:sz w:val="28"/>
          <w:highlight w:val="none"/>
          <w:lang w:val="en-US" w:eastAsia="zh-CN"/>
        </w:rPr>
        <w:t xml:space="preserve">    </w:t>
      </w:r>
      <w:r>
        <w:rPr>
          <w:rFonts w:hint="eastAsia" w:eastAsia="黑体" w:cs="Times New Roman"/>
          <w:color w:val="auto"/>
          <w:spacing w:val="-3"/>
          <w:sz w:val="28"/>
          <w:highlight w:val="none"/>
          <w:lang w:eastAsia="zh-CN"/>
        </w:rPr>
        <w:t>辉</w:t>
      </w:r>
      <w:r>
        <w:rPr>
          <w:rFonts w:hint="eastAsia" w:ascii="Times New Roman" w:hAnsi="Times New Roman" w:eastAsia="黑体" w:cs="Times New Roman"/>
          <w:color w:val="auto"/>
          <w:spacing w:val="-3"/>
          <w:sz w:val="28"/>
          <w:highlight w:val="none"/>
          <w:lang w:eastAsia="zh-CN"/>
        </w:rPr>
        <w:t>（合肥市计量测试中心）</w:t>
      </w:r>
    </w:p>
    <w:p w14:paraId="3B3317E5">
      <w:pPr>
        <w:keepNext w:val="0"/>
        <w:keepLines w:val="0"/>
        <w:pageBreakBefore w:val="0"/>
        <w:widowControl w:val="0"/>
        <w:kinsoku/>
        <w:wordWrap/>
        <w:overflowPunct/>
        <w:topLinePunct w:val="0"/>
        <w:autoSpaceDE w:val="0"/>
        <w:autoSpaceDN w:val="0"/>
        <w:bidi w:val="0"/>
        <w:adjustRightInd w:val="0"/>
        <w:snapToGrid/>
        <w:spacing w:line="360" w:lineRule="auto"/>
        <w:ind w:firstLine="3014" w:firstLineChars="1100"/>
        <w:textAlignment w:val="auto"/>
        <w:outlineLvl w:val="9"/>
        <w:rPr>
          <w:rFonts w:hint="eastAsia" w:ascii="Times New Roman" w:hAnsi="Times New Roman" w:eastAsia="黑体" w:cs="Times New Roman"/>
          <w:color w:val="auto"/>
          <w:spacing w:val="-3"/>
          <w:sz w:val="28"/>
          <w:highlight w:val="none"/>
          <w:lang w:eastAsia="zh-CN"/>
        </w:rPr>
      </w:pPr>
      <w:r>
        <w:rPr>
          <w:rFonts w:hint="eastAsia" w:ascii="Times New Roman" w:hAnsi="Times New Roman" w:eastAsia="黑体" w:cs="Times New Roman"/>
          <w:color w:val="auto"/>
          <w:spacing w:val="-3"/>
          <w:sz w:val="28"/>
          <w:highlight w:val="none"/>
          <w:lang w:eastAsia="zh-CN"/>
        </w:rPr>
        <w:t>张道隽（浙江华验计量检测技术有限公司）</w:t>
      </w:r>
    </w:p>
    <w:p w14:paraId="336AB8D9">
      <w:pPr>
        <w:keepNext w:val="0"/>
        <w:keepLines w:val="0"/>
        <w:pageBreakBefore w:val="0"/>
        <w:widowControl w:val="0"/>
        <w:kinsoku/>
        <w:wordWrap/>
        <w:overflowPunct/>
        <w:topLinePunct w:val="0"/>
        <w:autoSpaceDE w:val="0"/>
        <w:autoSpaceDN w:val="0"/>
        <w:bidi w:val="0"/>
        <w:adjustRightInd w:val="0"/>
        <w:snapToGrid/>
        <w:spacing w:line="360" w:lineRule="auto"/>
        <w:ind w:firstLine="3014" w:firstLineChars="1100"/>
        <w:textAlignment w:val="auto"/>
        <w:outlineLvl w:val="9"/>
        <w:rPr>
          <w:rFonts w:hint="eastAsia" w:ascii="Times New Roman" w:hAnsi="Times New Roman" w:eastAsia="黑体" w:cs="Times New Roman"/>
          <w:color w:val="auto"/>
          <w:spacing w:val="-3"/>
          <w:sz w:val="28"/>
          <w:highlight w:val="none"/>
          <w:lang w:eastAsia="zh-CN"/>
        </w:rPr>
      </w:pPr>
      <w:r>
        <w:rPr>
          <w:rFonts w:hint="eastAsia" w:ascii="Times New Roman" w:hAnsi="Times New Roman" w:eastAsia="黑体" w:cs="Times New Roman"/>
          <w:color w:val="auto"/>
          <w:spacing w:val="-3"/>
          <w:sz w:val="28"/>
          <w:highlight w:val="none"/>
          <w:lang w:eastAsia="zh-CN"/>
        </w:rPr>
        <w:t>余</w:t>
      </w:r>
      <w:r>
        <w:rPr>
          <w:rFonts w:hint="eastAsia" w:eastAsia="黑体" w:cs="Times New Roman"/>
          <w:color w:val="auto"/>
          <w:spacing w:val="-3"/>
          <w:sz w:val="28"/>
          <w:highlight w:val="none"/>
          <w:lang w:val="en-US" w:eastAsia="zh-CN"/>
        </w:rPr>
        <w:t xml:space="preserve">    </w:t>
      </w:r>
      <w:r>
        <w:rPr>
          <w:rFonts w:hint="eastAsia" w:ascii="Times New Roman" w:hAnsi="Times New Roman" w:eastAsia="黑体" w:cs="Times New Roman"/>
          <w:color w:val="auto"/>
          <w:spacing w:val="-3"/>
          <w:sz w:val="28"/>
          <w:highlight w:val="none"/>
          <w:lang w:eastAsia="zh-CN"/>
        </w:rPr>
        <w:t>昭（安徽省计量科学研究院）</w:t>
      </w:r>
    </w:p>
    <w:p w14:paraId="248A4001">
      <w:pPr>
        <w:kinsoku w:val="0"/>
        <w:overflowPunct w:val="0"/>
        <w:spacing w:line="381" w:lineRule="exact"/>
        <w:ind w:left="558" w:firstLine="2466" w:firstLineChars="900"/>
        <w:rPr>
          <w:rFonts w:hint="default" w:ascii="Times New Roman" w:hAnsi="Times New Roman" w:eastAsia="黑体" w:cs="Times New Roman"/>
          <w:b/>
          <w:bCs/>
          <w:color w:val="auto"/>
          <w:sz w:val="28"/>
          <w:highlight w:val="none"/>
        </w:rPr>
      </w:pPr>
      <w:r>
        <w:rPr>
          <w:rFonts w:hint="eastAsia" w:ascii="Times New Roman" w:hAnsi="Times New Roman" w:eastAsia="黑体" w:cs="Times New Roman"/>
          <w:color w:val="auto"/>
          <w:spacing w:val="-3"/>
          <w:sz w:val="28"/>
          <w:highlight w:val="none"/>
          <w:lang w:eastAsia="zh-CN"/>
        </w:rPr>
        <w:t>韩</w:t>
      </w:r>
      <w:r>
        <w:rPr>
          <w:rFonts w:hint="eastAsia" w:ascii="Times New Roman" w:hAnsi="Times New Roman" w:eastAsia="黑体" w:cs="Times New Roman"/>
          <w:color w:val="auto"/>
          <w:spacing w:val="-3"/>
          <w:sz w:val="28"/>
          <w:highlight w:val="none"/>
          <w:lang w:val="en-US" w:eastAsia="zh-CN"/>
        </w:rPr>
        <w:t xml:space="preserve">    </w:t>
      </w:r>
      <w:r>
        <w:rPr>
          <w:rFonts w:hint="eastAsia" w:ascii="Times New Roman" w:hAnsi="Times New Roman" w:eastAsia="黑体" w:cs="Times New Roman"/>
          <w:color w:val="auto"/>
          <w:spacing w:val="-3"/>
          <w:sz w:val="28"/>
          <w:highlight w:val="none"/>
          <w:lang w:eastAsia="zh-CN"/>
        </w:rPr>
        <w:t>艳（蚌埠市计量科学研究院）</w:t>
      </w:r>
    </w:p>
    <w:p w14:paraId="28CD195E">
      <w:pPr>
        <w:keepNext w:val="0"/>
        <w:keepLines w:val="0"/>
        <w:pageBreakBefore w:val="0"/>
        <w:widowControl w:val="0"/>
        <w:kinsoku/>
        <w:wordWrap/>
        <w:overflowPunct/>
        <w:topLinePunct w:val="0"/>
        <w:autoSpaceDE w:val="0"/>
        <w:autoSpaceDN w:val="0"/>
        <w:bidi w:val="0"/>
        <w:adjustRightInd w:val="0"/>
        <w:snapToGrid/>
        <w:spacing w:line="360" w:lineRule="auto"/>
        <w:ind w:left="0" w:firstLine="2740" w:firstLineChars="1000"/>
        <w:textAlignment w:val="auto"/>
        <w:rPr>
          <w:rFonts w:hint="default" w:ascii="Times New Roman" w:hAnsi="Times New Roman" w:eastAsia="黑体" w:cs="Times New Roman"/>
          <w:color w:val="auto"/>
          <w:spacing w:val="-3"/>
          <w:sz w:val="28"/>
          <w:highlight w:val="none"/>
        </w:rPr>
      </w:pPr>
    </w:p>
    <w:p w14:paraId="2CD13BED">
      <w:pPr>
        <w:keepNext w:val="0"/>
        <w:keepLines w:val="0"/>
        <w:pageBreakBefore w:val="0"/>
        <w:widowControl w:val="0"/>
        <w:kinsoku/>
        <w:wordWrap/>
        <w:overflowPunct/>
        <w:topLinePunct w:val="0"/>
        <w:autoSpaceDE w:val="0"/>
        <w:autoSpaceDN w:val="0"/>
        <w:bidi w:val="0"/>
        <w:adjustRightInd w:val="0"/>
        <w:snapToGrid/>
        <w:spacing w:line="360" w:lineRule="auto"/>
        <w:ind w:firstLine="1405" w:firstLineChars="500"/>
        <w:textAlignment w:val="auto"/>
        <w:outlineLvl w:val="9"/>
        <w:rPr>
          <w:rFonts w:hint="eastAsia" w:ascii="Times New Roman" w:hAnsi="Times New Roman" w:eastAsia="黑体" w:cs="Times New Roman"/>
          <w:color w:val="auto"/>
          <w:spacing w:val="-3"/>
          <w:sz w:val="28"/>
          <w:highlight w:val="none"/>
          <w:lang w:eastAsia="zh-CN"/>
        </w:rPr>
      </w:pPr>
      <w:r>
        <w:rPr>
          <w:rFonts w:hint="default" w:ascii="Times New Roman" w:hAnsi="Times New Roman" w:eastAsia="黑体" w:cs="Times New Roman"/>
          <w:b/>
          <w:bCs/>
          <w:color w:val="auto"/>
          <w:sz w:val="28"/>
          <w:highlight w:val="none"/>
        </w:rPr>
        <w:t>参加起草人：</w:t>
      </w:r>
      <w:r>
        <w:rPr>
          <w:rFonts w:hint="eastAsia" w:eastAsia="黑体" w:cs="Times New Roman"/>
          <w:color w:val="auto"/>
          <w:spacing w:val="-3"/>
          <w:sz w:val="28"/>
          <w:highlight w:val="none"/>
          <w:lang w:eastAsia="zh-CN"/>
        </w:rPr>
        <w:t>王同鹤</w:t>
      </w:r>
      <w:r>
        <w:rPr>
          <w:rFonts w:hint="eastAsia" w:ascii="Times New Roman" w:hAnsi="Times New Roman" w:eastAsia="黑体" w:cs="Times New Roman"/>
          <w:color w:val="auto"/>
          <w:spacing w:val="-3"/>
          <w:sz w:val="28"/>
          <w:highlight w:val="none"/>
          <w:lang w:eastAsia="zh-CN"/>
        </w:rPr>
        <w:t>（安徽省计量科学研究院）</w:t>
      </w:r>
    </w:p>
    <w:p w14:paraId="196C2AD8">
      <w:pPr>
        <w:kinsoku w:val="0"/>
        <w:overflowPunct w:val="0"/>
        <w:spacing w:line="381" w:lineRule="exact"/>
        <w:ind w:left="558" w:firstLine="2466" w:firstLineChars="900"/>
        <w:rPr>
          <w:rFonts w:hint="default" w:ascii="Times New Roman" w:hAnsi="Times New Roman" w:eastAsia="黑体" w:cs="Times New Roman"/>
          <w:color w:val="auto"/>
          <w:spacing w:val="-3"/>
          <w:sz w:val="28"/>
          <w:highlight w:val="none"/>
          <w:lang w:eastAsia="zh-CN"/>
        </w:rPr>
      </w:pPr>
      <w:r>
        <w:rPr>
          <w:rFonts w:hint="eastAsia" w:ascii="Times New Roman" w:hAnsi="Times New Roman" w:eastAsia="黑体" w:cs="Times New Roman"/>
          <w:color w:val="auto"/>
          <w:spacing w:val="-3"/>
          <w:sz w:val="28"/>
          <w:highlight w:val="none"/>
          <w:lang w:eastAsia="zh-CN"/>
        </w:rPr>
        <w:t>张清扬</w:t>
      </w:r>
      <w:r>
        <w:rPr>
          <w:rFonts w:hint="eastAsia" w:ascii="Times New Roman" w:hAnsi="Times New Roman" w:eastAsia="黑体" w:cs="Times New Roman"/>
          <w:color w:val="auto"/>
          <w:spacing w:val="-3"/>
          <w:sz w:val="28"/>
          <w:highlight w:val="none"/>
          <w:lang w:eastAsia="zh-CN"/>
        </w:rPr>
        <w:t>（安徽省计量科学研究院）</w:t>
      </w:r>
    </w:p>
    <w:p w14:paraId="00FC50FF">
      <w:pPr>
        <w:keepNext w:val="0"/>
        <w:keepLines w:val="0"/>
        <w:pageBreakBefore w:val="0"/>
        <w:widowControl w:val="0"/>
        <w:kinsoku/>
        <w:wordWrap/>
        <w:overflowPunct/>
        <w:topLinePunct w:val="0"/>
        <w:autoSpaceDE w:val="0"/>
        <w:autoSpaceDN w:val="0"/>
        <w:bidi w:val="0"/>
        <w:adjustRightInd w:val="0"/>
        <w:snapToGrid/>
        <w:spacing w:line="360" w:lineRule="auto"/>
        <w:ind w:firstLine="1918" w:firstLineChars="700"/>
        <w:textAlignment w:val="auto"/>
        <w:outlineLvl w:val="9"/>
        <w:rPr>
          <w:rFonts w:hint="default" w:ascii="Times New Roman" w:hAnsi="Times New Roman" w:eastAsia="黑体" w:cs="Times New Roman"/>
          <w:color w:val="auto"/>
          <w:spacing w:val="-3"/>
          <w:sz w:val="28"/>
          <w:highlight w:val="none"/>
          <w:lang w:eastAsia="zh-CN"/>
        </w:rPr>
      </w:pPr>
      <w:bookmarkStart w:id="40" w:name="_GoBack"/>
      <w:bookmarkEnd w:id="40"/>
    </w:p>
    <w:p w14:paraId="0AF76C16">
      <w:pPr>
        <w:pStyle w:val="2"/>
        <w:rPr>
          <w:rFonts w:hint="default"/>
          <w:lang w:eastAsia="zh-CN"/>
        </w:rPr>
      </w:pPr>
    </w:p>
    <w:p w14:paraId="4698B67B">
      <w:pPr>
        <w:widowControl/>
        <w:autoSpaceDE/>
        <w:autoSpaceDN/>
        <w:adjustRightInd/>
        <w:rPr>
          <w:rFonts w:hint="default" w:ascii="Times New Roman" w:hAnsi="Times New Roman" w:eastAsia="黑体" w:cs="Times New Roman"/>
          <w:color w:val="auto"/>
          <w:sz w:val="44"/>
          <w:szCs w:val="44"/>
          <w:highlight w:val="none"/>
        </w:rPr>
      </w:pPr>
      <w:r>
        <w:rPr>
          <w:rFonts w:hint="default" w:ascii="Times New Roman" w:hAnsi="Times New Roman" w:eastAsia="黑体" w:cs="Times New Roman"/>
          <w:color w:val="auto"/>
          <w:sz w:val="44"/>
          <w:szCs w:val="44"/>
          <w:highlight w:val="none"/>
        </w:rPr>
        <w:br w:type="page"/>
      </w:r>
    </w:p>
    <w:sdt>
      <w:sdtPr>
        <w:rPr>
          <w:rFonts w:hint="default" w:ascii="Times New Roman" w:hAnsi="Times New Roman" w:eastAsia="宋体" w:cs="Times New Roman"/>
          <w:color w:val="auto"/>
          <w:kern w:val="0"/>
          <w:sz w:val="21"/>
          <w:szCs w:val="24"/>
          <w:highlight w:val="none"/>
          <w:lang w:val="en-US" w:eastAsia="zh-CN" w:bidi="ar-SA"/>
        </w:rPr>
        <w:id w:val="147455931"/>
        <w15:color w:val="DBDBDB"/>
        <w:docPartObj>
          <w:docPartGallery w:val="Table of Contents"/>
          <w:docPartUnique/>
        </w:docPartObj>
      </w:sdtPr>
      <w:sdtEndPr>
        <w:rPr>
          <w:rFonts w:hint="default" w:hAnsi="宋体" w:cs="宋体"/>
          <w:kern w:val="0"/>
          <w:lang w:val="en-US" w:eastAsia="zh-CN" w:bidi="en-US"/>
        </w:rPr>
      </w:sdtEndPr>
      <w:sdtContent>
        <w:p w14:paraId="5F064402">
          <w:pPr>
            <w:spacing w:before="0" w:beforeLines="0" w:after="0" w:afterLines="0" w:line="240" w:lineRule="auto"/>
            <w:ind w:left="0" w:leftChars="0" w:right="0" w:rightChars="0" w:firstLine="0" w:firstLineChars="0"/>
            <w:jc w:val="center"/>
            <w:rPr>
              <w:rFonts w:hint="default" w:ascii="Times New Roman" w:hAnsi="Times New Roman" w:cs="Times New Roman"/>
              <w:color w:val="auto"/>
              <w:highlight w:val="none"/>
            </w:rPr>
          </w:pPr>
          <w:r>
            <w:rPr>
              <w:rFonts w:hint="default" w:ascii="Times New Roman" w:hAnsi="Times New Roman" w:eastAsia="宋体" w:cs="Times New Roman"/>
              <w:color w:val="auto"/>
              <w:sz w:val="52"/>
              <w:szCs w:val="52"/>
              <w:highlight w:val="none"/>
            </w:rPr>
            <w:t>目录</w:t>
          </w:r>
        </w:p>
        <w:p w14:paraId="2525F732">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TOC \o "1-3" \h \u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_Toc14930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引   言</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_Toc14930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III</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1F497D61">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_Toc22667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1  范围</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_Toc22667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1</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4F72F1D5">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_Toc25059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val="en-US" w:eastAsia="zh-CN" w:bidi="en-US"/>
            </w:rPr>
            <w:t xml:space="preserve">2 </w:t>
          </w:r>
          <w:r>
            <w:rPr>
              <w:rFonts w:hint="default" w:ascii="Times New Roman" w:hAnsi="Times New Roman" w:cs="Times New Roman"/>
              <w:kern w:val="0"/>
              <w:lang w:eastAsia="en-US" w:bidi="en-US"/>
            </w:rPr>
            <w:t>引用文件</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_Toc25059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1</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59EA6E77">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_Toc30726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val="en-US" w:eastAsia="zh-CN" w:bidi="en-US"/>
            </w:rPr>
            <w:t>3 术语和定义</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_Toc30726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1</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79C21A65">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_Toc17549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val="en-US" w:eastAsia="zh-CN" w:bidi="en-US"/>
            </w:rPr>
            <w:t>4 计量器具配备</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_Toc17549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2</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573E1BFF">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_Toc469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4.1 总体要求</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_Toc469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2</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10678694">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_Toc12879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4.2</w:t>
          </w:r>
          <w:r>
            <w:rPr>
              <w:rFonts w:hint="default" w:ascii="Times New Roman" w:hAnsi="Times New Roman" w:cs="Times New Roman"/>
              <w:kern w:val="0"/>
              <w:lang w:val="en-US" w:eastAsia="zh-CN" w:bidi="en-US"/>
            </w:rPr>
            <w:t xml:space="preserve"> </w:t>
          </w:r>
          <w:r>
            <w:rPr>
              <w:rFonts w:hint="default" w:ascii="Times New Roman" w:hAnsi="Times New Roman" w:cs="Times New Roman"/>
              <w:kern w:val="0"/>
              <w:lang w:eastAsia="en-US" w:bidi="en-US"/>
            </w:rPr>
            <w:t>能源计量器具配备要求</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_Toc12879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2</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374BDB57">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_Toc13597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4.3</w:t>
          </w:r>
          <w:r>
            <w:rPr>
              <w:rFonts w:hint="default" w:ascii="Times New Roman" w:hAnsi="Times New Roman" w:cs="Times New Roman"/>
              <w:kern w:val="0"/>
              <w:lang w:val="en-US" w:eastAsia="zh-CN" w:bidi="en-US"/>
            </w:rPr>
            <w:t xml:space="preserve"> </w:t>
          </w:r>
          <w:r>
            <w:rPr>
              <w:rFonts w:hint="default" w:ascii="Times New Roman" w:hAnsi="Times New Roman" w:cs="Times New Roman"/>
              <w:kern w:val="0"/>
              <w:lang w:eastAsia="en-US" w:bidi="en-US"/>
            </w:rPr>
            <w:t>原材料计量器具配备要求</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_Toc13597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3</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1B2190F6">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_Toc18545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4.4 产量计量器具配备要求</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_Toc18545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3</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0B72CEC2">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_Toc29164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4.5 碳排放</w:t>
          </w:r>
          <w:r>
            <w:rPr>
              <w:rFonts w:hint="default" w:ascii="Times New Roman" w:hAnsi="Times New Roman" w:cs="Times New Roman"/>
              <w:kern w:val="0"/>
              <w:lang w:val="en-US" w:eastAsia="zh-CN" w:bidi="en-US"/>
            </w:rPr>
            <w:t>量</w:t>
          </w:r>
          <w:r>
            <w:rPr>
              <w:rFonts w:hint="default" w:ascii="Times New Roman" w:hAnsi="Times New Roman" w:cs="Times New Roman"/>
              <w:kern w:val="0"/>
              <w:lang w:eastAsia="en-US" w:bidi="en-US"/>
            </w:rPr>
            <w:t>监测计量器具配备要求</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_Toc29164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4</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3BDBABFD">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_Toc26375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val="en-US" w:eastAsia="zh-CN" w:bidi="en-US"/>
            </w:rPr>
            <w:t>5 计量器具的管理要求</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_Toc26375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5</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73FF78FB">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_Toc7999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5.1 计量制度</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_Toc7999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5</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29F03DDF">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_Toc11118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5.2</w:t>
          </w:r>
          <w:r>
            <w:rPr>
              <w:rFonts w:hint="default" w:ascii="Times New Roman" w:hAnsi="Times New Roman" w:cs="Times New Roman"/>
              <w:kern w:val="0"/>
              <w:lang w:val="en-US" w:eastAsia="zh-CN" w:bidi="en-US"/>
            </w:rPr>
            <w:t xml:space="preserve"> </w:t>
          </w:r>
          <w:r>
            <w:rPr>
              <w:rFonts w:hint="default" w:ascii="Times New Roman" w:hAnsi="Times New Roman" w:cs="Times New Roman"/>
              <w:kern w:val="0"/>
              <w:lang w:eastAsia="en-US" w:bidi="en-US"/>
            </w:rPr>
            <w:t>计量人员</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_Toc11118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5</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3B060143">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_Toc13833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5.3 计量器具</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_Toc13833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6</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5089A36A">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_Toc24494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val="en-US" w:eastAsia="zh-CN" w:bidi="en-US"/>
            </w:rPr>
            <w:t>6 数据管理与应用</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_Toc24494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6</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13B5803A">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_Toc16785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6.1</w:t>
          </w:r>
          <w:r>
            <w:rPr>
              <w:rFonts w:hint="default" w:ascii="Times New Roman" w:hAnsi="Times New Roman" w:cs="Times New Roman"/>
              <w:kern w:val="0"/>
              <w:lang w:val="en-US" w:eastAsia="zh-CN" w:bidi="en-US"/>
            </w:rPr>
            <w:t xml:space="preserve"> </w:t>
          </w:r>
          <w:r>
            <w:rPr>
              <w:rFonts w:hint="default" w:ascii="Times New Roman" w:hAnsi="Times New Roman" w:cs="Times New Roman"/>
              <w:kern w:val="0"/>
              <w:lang w:eastAsia="en-US" w:bidi="en-US"/>
            </w:rPr>
            <w:t>数据管理</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_Toc16785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6</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070BB8DF">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_Toc3556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val="en-US" w:eastAsia="zh-CN" w:bidi="en-US"/>
            </w:rPr>
            <w:t xml:space="preserve">6.2 </w:t>
          </w:r>
          <w:r>
            <w:rPr>
              <w:rFonts w:hint="default" w:ascii="Times New Roman" w:hAnsi="Times New Roman" w:cs="Times New Roman"/>
              <w:kern w:val="0"/>
              <w:lang w:eastAsia="en-US" w:bidi="en-US"/>
            </w:rPr>
            <w:t>监测数据应用</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_Toc3556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7</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14C205F7">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_Toc26532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val="en-US" w:eastAsia="zh-CN" w:bidi="en-US"/>
            </w:rPr>
            <w:t>7 企业接入端系统要求</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_Toc26532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7</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643FBA76">
          <w:pPr>
            <w:pStyle w:val="7"/>
            <w:tabs>
              <w:tab w:val="right" w:leader="middleDot" w:pos="9240"/>
              <w:tab w:val="right" w:leader="middleDot" w:pos="10500"/>
            </w:tabs>
            <w:adjustRightInd/>
            <w:spacing w:before="160" w:after="80"/>
            <w:ind w:left="240" w:leftChars="100" w:right="120" w:rightChars="50"/>
            <w:jc w:val="both"/>
            <w:rPr>
              <w:rFonts w:hint="default" w:ascii="Times New Roman" w:hAnsi="Times New Roman" w:cs="Times New Roman"/>
              <w:kern w:val="0"/>
              <w:lang w:eastAsia="en-US" w:bidi="en-US"/>
            </w:rPr>
          </w:pP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HYPERLINK \l _Toc8236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val="en-US" w:eastAsia="zh-CN" w:bidi="en-US"/>
            </w:rPr>
            <w:t>附录A</w:t>
          </w:r>
          <w:r>
            <w:rPr>
              <w:rFonts w:hint="default" w:ascii="Times New Roman" w:hAnsi="Times New Roman" w:cs="Times New Roman"/>
              <w:kern w:val="0"/>
              <w:lang w:eastAsia="en-US" w:bidi="en-US"/>
            </w:rPr>
            <w:tab/>
          </w:r>
          <w:r>
            <w:rPr>
              <w:rFonts w:hint="default" w:ascii="Times New Roman" w:hAnsi="Times New Roman" w:cs="Times New Roman"/>
              <w:kern w:val="0"/>
              <w:lang w:eastAsia="en-US" w:bidi="en-US"/>
            </w:rPr>
            <w:fldChar w:fldCharType="begin"/>
          </w:r>
          <w:r>
            <w:rPr>
              <w:rFonts w:hint="default" w:ascii="Times New Roman" w:hAnsi="Times New Roman" w:cs="Times New Roman"/>
              <w:kern w:val="0"/>
              <w:lang w:eastAsia="en-US" w:bidi="en-US"/>
            </w:rPr>
            <w:instrText xml:space="preserve"> PAGEREF _Toc8236 \h </w:instrText>
          </w:r>
          <w:r>
            <w:rPr>
              <w:rFonts w:hint="default" w:ascii="Times New Roman" w:hAnsi="Times New Roman" w:cs="Times New Roman"/>
              <w:kern w:val="0"/>
              <w:lang w:eastAsia="en-US" w:bidi="en-US"/>
            </w:rPr>
            <w:fldChar w:fldCharType="separate"/>
          </w:r>
          <w:r>
            <w:rPr>
              <w:rFonts w:hint="default" w:ascii="Times New Roman" w:hAnsi="Times New Roman" w:cs="Times New Roman"/>
              <w:kern w:val="0"/>
              <w:lang w:eastAsia="en-US" w:bidi="en-US"/>
            </w:rPr>
            <w:t>8</w:t>
          </w:r>
          <w:r>
            <w:rPr>
              <w:rFonts w:hint="default" w:ascii="Times New Roman" w:hAnsi="Times New Roman" w:cs="Times New Roman"/>
              <w:kern w:val="0"/>
              <w:lang w:eastAsia="en-US" w:bidi="en-US"/>
            </w:rPr>
            <w:fldChar w:fldCharType="end"/>
          </w:r>
          <w:r>
            <w:rPr>
              <w:rFonts w:hint="default" w:ascii="Times New Roman" w:hAnsi="Times New Roman" w:cs="Times New Roman"/>
              <w:kern w:val="0"/>
              <w:lang w:eastAsia="en-US" w:bidi="en-US"/>
            </w:rPr>
            <w:fldChar w:fldCharType="end"/>
          </w:r>
        </w:p>
        <w:p w14:paraId="1213A85F">
          <w:pPr>
            <w:pStyle w:val="7"/>
            <w:tabs>
              <w:tab w:val="right" w:leader="middleDot" w:pos="9240"/>
              <w:tab w:val="right" w:leader="middleDot" w:pos="10500"/>
            </w:tabs>
            <w:adjustRightInd/>
            <w:spacing w:before="160" w:after="80"/>
            <w:ind w:left="240" w:leftChars="100" w:right="120" w:rightChars="50"/>
            <w:jc w:val="both"/>
            <w:rPr>
              <w:rFonts w:hint="default" w:hAnsi="宋体" w:cs="宋体"/>
              <w:kern w:val="0"/>
              <w:lang w:val="en-US" w:eastAsia="zh-CN" w:bidi="en-US"/>
            </w:rPr>
          </w:pPr>
          <w:r>
            <w:rPr>
              <w:rFonts w:hint="default" w:ascii="Times New Roman" w:hAnsi="Times New Roman" w:cs="Times New Roman"/>
              <w:kern w:val="0"/>
              <w:lang w:eastAsia="en-US" w:bidi="en-US"/>
            </w:rPr>
            <w:fldChar w:fldCharType="end"/>
          </w:r>
        </w:p>
      </w:sdtContent>
    </w:sdt>
    <w:p w14:paraId="593ACC22">
      <w:pPr>
        <w:widowControl/>
        <w:autoSpaceDE/>
        <w:autoSpaceDN/>
        <w:adjustRightInd/>
        <w:rPr>
          <w:rFonts w:hint="default" w:ascii="Times New Roman" w:hAnsi="Times New Roman" w:eastAsia="Times New Roman" w:cs="Times New Roman"/>
          <w:color w:val="auto"/>
          <w:kern w:val="0"/>
          <w:sz w:val="24"/>
          <w:szCs w:val="24"/>
          <w:highlight w:val="none"/>
          <w:lang w:val="en-US" w:eastAsia="zh-CN" w:bidi="ar-SA"/>
        </w:rPr>
      </w:pPr>
    </w:p>
    <w:p w14:paraId="00DEF478">
      <w:pPr>
        <w:widowControl/>
        <w:autoSpaceDE/>
        <w:autoSpaceDN/>
        <w:adjustRightInd/>
        <w:rPr>
          <w:rFonts w:hint="default" w:ascii="Times New Roman" w:hAnsi="Times New Roman" w:eastAsia="Times New Roman" w:cs="Times New Roman"/>
          <w:color w:val="auto"/>
          <w:kern w:val="0"/>
          <w:sz w:val="24"/>
          <w:szCs w:val="24"/>
          <w:highlight w:val="none"/>
          <w:lang w:val="en-US" w:eastAsia="zh-CN" w:bidi="ar-SA"/>
        </w:rPr>
      </w:pPr>
    </w:p>
    <w:p w14:paraId="4BEB8F4B">
      <w:pPr>
        <w:widowControl/>
        <w:autoSpaceDE/>
        <w:autoSpaceDN/>
        <w:adjustRightInd/>
        <w:rPr>
          <w:rFonts w:hint="default" w:ascii="Times New Roman" w:hAnsi="Times New Roman" w:eastAsia="Times New Roman" w:cs="Times New Roman"/>
          <w:color w:val="auto"/>
          <w:kern w:val="0"/>
          <w:sz w:val="24"/>
          <w:szCs w:val="24"/>
          <w:highlight w:val="none"/>
          <w:lang w:val="en-US" w:eastAsia="zh-CN" w:bidi="ar-SA"/>
        </w:rPr>
      </w:pPr>
    </w:p>
    <w:p w14:paraId="26E83476">
      <w:pPr>
        <w:widowControl/>
        <w:autoSpaceDE/>
        <w:autoSpaceDN/>
        <w:adjustRightInd/>
        <w:rPr>
          <w:rFonts w:hint="default" w:ascii="Times New Roman" w:hAnsi="Times New Roman" w:eastAsia="Times New Roman" w:cs="Times New Roman"/>
          <w:color w:val="auto"/>
          <w:kern w:val="0"/>
          <w:sz w:val="24"/>
          <w:szCs w:val="24"/>
          <w:highlight w:val="none"/>
          <w:lang w:val="en-US" w:eastAsia="zh-CN" w:bidi="ar-SA"/>
        </w:rPr>
      </w:pPr>
    </w:p>
    <w:p w14:paraId="2D4D048F">
      <w:pPr>
        <w:widowControl/>
        <w:autoSpaceDE/>
        <w:autoSpaceDN/>
        <w:adjustRightInd/>
        <w:rPr>
          <w:rFonts w:hint="default" w:ascii="Times New Roman" w:hAnsi="Times New Roman" w:eastAsia="Times New Roman" w:cs="Times New Roman"/>
          <w:color w:val="auto"/>
          <w:kern w:val="0"/>
          <w:sz w:val="24"/>
          <w:szCs w:val="24"/>
          <w:highlight w:val="none"/>
          <w:lang w:val="en-US" w:eastAsia="zh-CN" w:bidi="ar-SA"/>
        </w:rPr>
      </w:pPr>
    </w:p>
    <w:p w14:paraId="6FC5F948">
      <w:pPr>
        <w:widowControl/>
        <w:autoSpaceDE/>
        <w:autoSpaceDN/>
        <w:adjustRightInd/>
        <w:rPr>
          <w:rFonts w:hint="default" w:ascii="Times New Roman" w:hAnsi="Times New Roman" w:eastAsia="Times New Roman" w:cs="Times New Roman"/>
          <w:color w:val="auto"/>
          <w:kern w:val="0"/>
          <w:sz w:val="24"/>
          <w:szCs w:val="24"/>
          <w:highlight w:val="none"/>
          <w:lang w:val="en-US" w:eastAsia="zh-CN" w:bidi="ar-SA"/>
        </w:rPr>
      </w:pPr>
    </w:p>
    <w:p w14:paraId="058E641E">
      <w:pPr>
        <w:pStyle w:val="2"/>
        <w:rPr>
          <w:rFonts w:hint="default"/>
          <w:lang w:val="en-US" w:eastAsia="zh-CN"/>
        </w:rPr>
      </w:pPr>
    </w:p>
    <w:p w14:paraId="3CE634EC">
      <w:pPr>
        <w:pStyle w:val="3"/>
        <w:spacing w:line="539" w:lineRule="exact"/>
        <w:ind w:right="132"/>
        <w:jc w:val="center"/>
        <w:outlineLvl w:val="9"/>
        <w:rPr>
          <w:rFonts w:hint="default" w:ascii="Times New Roman" w:hAnsi="Times New Roman" w:cs="Times New Roman"/>
          <w:color w:val="auto"/>
          <w:sz w:val="52"/>
          <w:szCs w:val="52"/>
          <w:highlight w:val="none"/>
        </w:rPr>
      </w:pPr>
    </w:p>
    <w:p w14:paraId="707410B8">
      <w:pPr>
        <w:spacing w:line="539" w:lineRule="exact"/>
        <w:ind w:right="132"/>
        <w:jc w:val="center"/>
        <w:outlineLvl w:val="0"/>
        <w:rPr>
          <w:rFonts w:hint="default" w:ascii="Times New Roman" w:hAnsi="Times New Roman" w:cs="Times New Roman"/>
          <w:b/>
          <w:bCs/>
          <w:color w:val="auto"/>
          <w:sz w:val="52"/>
          <w:szCs w:val="52"/>
          <w:highlight w:val="none"/>
        </w:rPr>
      </w:pPr>
      <w:bookmarkStart w:id="0" w:name="_Toc26966"/>
      <w:bookmarkStart w:id="1" w:name="_Toc14930"/>
      <w:r>
        <w:rPr>
          <w:rFonts w:hint="default" w:ascii="Times New Roman" w:hAnsi="Times New Roman" w:cs="Times New Roman"/>
          <w:b/>
          <w:bCs/>
          <w:color w:val="auto"/>
          <w:sz w:val="52"/>
          <w:szCs w:val="52"/>
          <w:highlight w:val="none"/>
        </w:rPr>
        <w:t>引   言</w:t>
      </w:r>
      <w:bookmarkEnd w:id="0"/>
      <w:bookmarkEnd w:id="1"/>
    </w:p>
    <w:p w14:paraId="0CB1EDC9">
      <w:pPr>
        <w:spacing w:line="200" w:lineRule="exact"/>
        <w:rPr>
          <w:rFonts w:hint="default" w:ascii="Times New Roman" w:hAnsi="Times New Roman" w:eastAsia="Times New Roman" w:cs="Times New Roman"/>
          <w:color w:val="auto"/>
          <w:sz w:val="20"/>
          <w:highlight w:val="none"/>
        </w:rPr>
      </w:pPr>
    </w:p>
    <w:p w14:paraId="271CAA43">
      <w:pPr>
        <w:pStyle w:val="7"/>
        <w:spacing w:line="360" w:lineRule="auto"/>
        <w:ind w:right="264" w:firstLine="480"/>
        <w:jc w:val="both"/>
        <w:rPr>
          <w:rFonts w:hint="default" w:ascii="Times New Roman" w:hAnsi="Times New Roman" w:cs="Times New Roman"/>
          <w:color w:val="auto"/>
          <w:spacing w:val="21"/>
          <w:highlight w:val="none"/>
        </w:rPr>
      </w:pPr>
    </w:p>
    <w:p w14:paraId="344830DD">
      <w:pPr>
        <w:pStyle w:val="7"/>
        <w:spacing w:line="360" w:lineRule="auto"/>
        <w:ind w:right="264" w:firstLine="480"/>
        <w:jc w:val="both"/>
        <w:rPr>
          <w:rFonts w:hint="default" w:ascii="Times New Roman" w:hAnsi="Times New Roman" w:cs="Times New Roman"/>
          <w:color w:val="auto"/>
          <w:highlight w:val="none"/>
        </w:rPr>
      </w:pPr>
      <w:r>
        <w:rPr>
          <w:rFonts w:hint="default" w:ascii="Times New Roman" w:hAnsi="Times New Roman" w:cs="Times New Roman"/>
          <w:color w:val="auto"/>
          <w:spacing w:val="21"/>
          <w:highlight w:val="none"/>
        </w:rPr>
        <w:t>为提升</w:t>
      </w:r>
      <w:r>
        <w:rPr>
          <w:rFonts w:hint="default" w:ascii="Times New Roman" w:hAnsi="Times New Roman" w:cs="Times New Roman"/>
          <w:color w:val="auto"/>
          <w:spacing w:val="21"/>
          <w:highlight w:val="none"/>
          <w:lang w:val="en-US" w:eastAsia="zh-CN"/>
        </w:rPr>
        <w:t>安徽省内</w:t>
      </w:r>
      <w:r>
        <w:rPr>
          <w:rFonts w:hint="eastAsia" w:ascii="Times New Roman" w:cs="Times New Roman"/>
          <w:color w:val="auto"/>
          <w:spacing w:val="21"/>
          <w:highlight w:val="none"/>
          <w:lang w:val="en-US" w:eastAsia="zh-CN"/>
        </w:rPr>
        <w:t>“</w:t>
      </w:r>
      <w:r>
        <w:rPr>
          <w:rFonts w:hint="default" w:ascii="Times New Roman" w:hAnsi="Times New Roman" w:cs="Times New Roman"/>
          <w:color w:val="auto"/>
          <w:spacing w:val="21"/>
          <w:highlight w:val="none"/>
        </w:rPr>
        <w:t>两高</w:t>
      </w:r>
      <w:r>
        <w:rPr>
          <w:rFonts w:hint="eastAsia" w:ascii="Times New Roman" w:cs="Times New Roman"/>
          <w:color w:val="auto"/>
          <w:spacing w:val="21"/>
          <w:highlight w:val="none"/>
          <w:lang w:eastAsia="zh-CN"/>
        </w:rPr>
        <w:t>”</w:t>
      </w:r>
      <w:r>
        <w:rPr>
          <w:rFonts w:hint="default" w:ascii="Times New Roman" w:hAnsi="Times New Roman" w:cs="Times New Roman"/>
          <w:color w:val="auto"/>
          <w:spacing w:val="21"/>
          <w:highlight w:val="none"/>
          <w:lang w:val="en-US" w:eastAsia="zh-CN"/>
        </w:rPr>
        <w:t>企</w:t>
      </w:r>
      <w:r>
        <w:rPr>
          <w:rFonts w:hint="default" w:ascii="Times New Roman" w:hAnsi="Times New Roman" w:cs="Times New Roman"/>
          <w:color w:val="auto"/>
          <w:spacing w:val="21"/>
          <w:highlight w:val="none"/>
        </w:rPr>
        <w:t>业监测计量器具配备和管理科学化、信息化、精准化水平，</w:t>
      </w:r>
      <w:r>
        <w:rPr>
          <w:rFonts w:hint="default" w:ascii="Times New Roman" w:hAnsi="Times New Roman" w:cs="Times New Roman"/>
          <w:color w:val="auto"/>
          <w:spacing w:val="21"/>
          <w:highlight w:val="none"/>
          <w:lang w:val="en-US" w:eastAsia="zh-CN"/>
        </w:rPr>
        <w:t>根据</w:t>
      </w:r>
      <w:r>
        <w:rPr>
          <w:rFonts w:hint="default" w:ascii="Times New Roman" w:hAnsi="Times New Roman" w:cs="Times New Roman"/>
          <w:color w:val="auto"/>
          <w:spacing w:val="21"/>
          <w:highlight w:val="none"/>
        </w:rPr>
        <w:t>JJF 1001  《通用计量术语及定义》、JJF 1356《重点用能单位能源计量审查规范》</w:t>
      </w:r>
      <w:r>
        <w:rPr>
          <w:rFonts w:hint="default" w:ascii="Times New Roman" w:hAnsi="Times New Roman" w:cs="Times New Roman"/>
          <w:color w:val="auto"/>
          <w:spacing w:val="21"/>
          <w:highlight w:val="none"/>
          <w:lang w:eastAsia="zh-CN"/>
        </w:rPr>
        <w:t>、</w:t>
      </w:r>
      <w:r>
        <w:rPr>
          <w:rFonts w:hint="default" w:ascii="Times New Roman" w:hAnsi="Times New Roman" w:cs="Times New Roman"/>
          <w:color w:val="auto"/>
          <w:spacing w:val="21"/>
          <w:highlight w:val="none"/>
        </w:rPr>
        <w:t>GB 17167 《用能单位能源计量器具配备和管理通则》、GB/T 2589《综合能耗计算通则》、</w:t>
      </w:r>
      <w:r>
        <w:rPr>
          <w:rFonts w:hint="default" w:ascii="Times New Roman" w:hAnsi="Times New Roman" w:cs="Times New Roman"/>
          <w:color w:val="auto"/>
          <w:spacing w:val="21"/>
          <w:highlight w:val="none"/>
          <w:lang w:eastAsia="zh-CN"/>
        </w:rPr>
        <w:t>GB/T 32150《工业企业温室气体排放核算和报告通则》</w:t>
      </w:r>
      <w:r>
        <w:rPr>
          <w:rFonts w:hint="default" w:ascii="Times New Roman" w:hAnsi="Times New Roman" w:cs="Times New Roman"/>
          <w:color w:val="auto"/>
          <w:spacing w:val="21"/>
          <w:highlight w:val="none"/>
          <w:lang w:val="en-US" w:eastAsia="zh-CN"/>
        </w:rPr>
        <w:t>等，制定本规范</w:t>
      </w:r>
      <w:r>
        <w:rPr>
          <w:rFonts w:hint="default" w:ascii="Times New Roman" w:hAnsi="Times New Roman" w:cs="Times New Roman"/>
          <w:color w:val="auto"/>
          <w:highlight w:val="none"/>
        </w:rPr>
        <w:t>。</w:t>
      </w:r>
    </w:p>
    <w:p w14:paraId="19C43204">
      <w:pPr>
        <w:pStyle w:val="7"/>
        <w:spacing w:line="360" w:lineRule="auto"/>
        <w:ind w:left="621"/>
        <w:rPr>
          <w:rFonts w:hint="default" w:ascii="Times New Roman" w:hAnsi="Times New Roman" w:cs="Times New Roman"/>
          <w:color w:val="auto"/>
          <w:highlight w:val="none"/>
        </w:rPr>
      </w:pPr>
      <w:r>
        <w:rPr>
          <w:rFonts w:hint="default" w:ascii="Times New Roman" w:hAnsi="Times New Roman" w:cs="Times New Roman"/>
          <w:bCs/>
          <w:color w:val="auto"/>
          <w:highlight w:val="none"/>
        </w:rPr>
        <w:t>本规范为首次发布。</w:t>
      </w:r>
    </w:p>
    <w:p w14:paraId="7A6CE285">
      <w:pPr>
        <w:pStyle w:val="7"/>
        <w:spacing w:line="360" w:lineRule="auto"/>
        <w:ind w:left="141"/>
        <w:rPr>
          <w:rFonts w:hint="default" w:ascii="Times New Roman" w:hAnsi="Times New Roman" w:cs="Times New Roman"/>
          <w:color w:val="auto"/>
          <w:highlight w:val="none"/>
        </w:rPr>
      </w:pPr>
    </w:p>
    <w:p w14:paraId="7C78B14F">
      <w:pPr>
        <w:pStyle w:val="7"/>
        <w:spacing w:line="360" w:lineRule="auto"/>
        <w:ind w:left="141"/>
        <w:rPr>
          <w:rFonts w:hint="default" w:ascii="Times New Roman" w:hAnsi="Times New Roman" w:cs="Times New Roman"/>
          <w:color w:val="auto"/>
          <w:highlight w:val="none"/>
        </w:rPr>
      </w:pPr>
    </w:p>
    <w:p w14:paraId="7B071D0E">
      <w:pPr>
        <w:pStyle w:val="7"/>
        <w:spacing w:line="360" w:lineRule="auto"/>
        <w:ind w:left="141"/>
        <w:rPr>
          <w:rFonts w:hint="default" w:ascii="Times New Roman" w:hAnsi="Times New Roman" w:cs="Times New Roman"/>
          <w:color w:val="auto"/>
          <w:highlight w:val="none"/>
        </w:rPr>
        <w:sectPr>
          <w:footerReference r:id="rId4" w:type="default"/>
          <w:pgSz w:w="11907" w:h="16840"/>
          <w:pgMar w:top="1718" w:right="981" w:bottom="1519" w:left="1280" w:header="1448" w:footer="1327" w:gutter="0"/>
          <w:pgBorders>
            <w:top w:val="none" w:sz="0" w:space="0"/>
            <w:left w:val="none" w:sz="0" w:space="0"/>
            <w:bottom w:val="none" w:sz="0" w:space="0"/>
            <w:right w:val="none" w:sz="0" w:space="0"/>
          </w:pgBorders>
          <w:pgNumType w:fmt="upperRoman" w:start="1"/>
          <w:cols w:space="720" w:num="1"/>
        </w:sectPr>
      </w:pPr>
    </w:p>
    <w:p w14:paraId="249F6BF2">
      <w:pPr>
        <w:pStyle w:val="7"/>
        <w:spacing w:before="260" w:after="40" w:line="360" w:lineRule="auto"/>
        <w:ind w:left="0"/>
        <w:jc w:val="center"/>
        <w:outlineLvl w:val="9"/>
        <w:rPr>
          <w:rFonts w:hint="default" w:ascii="Times New Roman" w:hAnsi="Times New Roman" w:eastAsia="黑体" w:cs="Times New Roman"/>
          <w:color w:val="auto"/>
          <w:sz w:val="32"/>
          <w:szCs w:val="32"/>
          <w:highlight w:val="none"/>
          <w:lang w:eastAsia="zh-CN"/>
        </w:rPr>
      </w:pPr>
      <w:bookmarkStart w:id="2" w:name="bookmark1"/>
      <w:bookmarkEnd w:id="2"/>
      <w:bookmarkStart w:id="3" w:name="_Toc84603526"/>
      <w:r>
        <w:rPr>
          <w:rFonts w:hint="eastAsia" w:ascii="Times New Roman" w:eastAsia="黑体" w:cs="Times New Roman"/>
          <w:color w:val="auto"/>
          <w:sz w:val="32"/>
          <w:szCs w:val="32"/>
          <w:highlight w:val="none"/>
          <w:lang w:eastAsia="zh-CN"/>
        </w:rPr>
        <w:t>“</w:t>
      </w:r>
      <w:r>
        <w:rPr>
          <w:rFonts w:hint="default" w:ascii="Times New Roman" w:hAnsi="Times New Roman" w:eastAsia="黑体" w:cs="Times New Roman"/>
          <w:color w:val="auto"/>
          <w:sz w:val="32"/>
          <w:szCs w:val="32"/>
          <w:highlight w:val="none"/>
          <w:lang w:eastAsia="zh-CN"/>
        </w:rPr>
        <w:t>两高</w:t>
      </w:r>
      <w:r>
        <w:rPr>
          <w:rFonts w:hint="eastAsia" w:ascii="Times New Roman" w:eastAsia="黑体" w:cs="Times New Roman"/>
          <w:color w:val="auto"/>
          <w:sz w:val="32"/>
          <w:szCs w:val="32"/>
          <w:highlight w:val="none"/>
          <w:lang w:eastAsia="zh-CN"/>
        </w:rPr>
        <w:t>”</w:t>
      </w:r>
      <w:r>
        <w:rPr>
          <w:rFonts w:hint="default" w:ascii="Times New Roman" w:hAnsi="Times New Roman" w:eastAsia="黑体" w:cs="Times New Roman"/>
          <w:color w:val="auto"/>
          <w:sz w:val="32"/>
          <w:szCs w:val="32"/>
          <w:highlight w:val="none"/>
          <w:lang w:eastAsia="zh-CN"/>
        </w:rPr>
        <w:t>企业监测计量器具配备和管理通则</w:t>
      </w:r>
    </w:p>
    <w:p w14:paraId="6D5A5FA6">
      <w:pPr>
        <w:pStyle w:val="7"/>
        <w:spacing w:before="260" w:after="40" w:line="360" w:lineRule="auto"/>
        <w:ind w:left="0"/>
        <w:outlineLvl w:val="0"/>
        <w:rPr>
          <w:rFonts w:hint="default" w:ascii="Times New Roman" w:hAnsi="Times New Roman" w:eastAsia="黑体" w:cs="Times New Roman"/>
          <w:b/>
          <w:color w:val="auto"/>
          <w:highlight w:val="none"/>
        </w:rPr>
      </w:pPr>
      <w:bookmarkStart w:id="4" w:name="_Toc22667"/>
      <w:bookmarkStart w:id="5" w:name="_Toc4959"/>
      <w:r>
        <w:rPr>
          <w:rFonts w:hint="default" w:ascii="Times New Roman" w:hAnsi="Times New Roman" w:eastAsia="黑体" w:cs="Times New Roman"/>
          <w:b/>
          <w:color w:val="auto"/>
          <w:highlight w:val="none"/>
        </w:rPr>
        <w:t>1  范围</w:t>
      </w:r>
      <w:bookmarkEnd w:id="3"/>
      <w:bookmarkEnd w:id="4"/>
      <w:bookmarkEnd w:id="5"/>
    </w:p>
    <w:p w14:paraId="328739A9">
      <w:pPr>
        <w:pStyle w:val="7"/>
        <w:tabs>
          <w:tab w:val="left" w:pos="2490"/>
        </w:tabs>
        <w:spacing w:line="360" w:lineRule="auto"/>
        <w:ind w:left="0" w:firstLine="480" w:firstLineChars="200"/>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本规范规定了</w:t>
      </w:r>
      <w:r>
        <w:rPr>
          <w:rFonts w:hint="eastAsia" w:asci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两高</w:t>
      </w:r>
      <w:r>
        <w:rPr>
          <w:rFonts w:hint="eastAsia" w:asci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企业用于综合能源消费量、煤炭消费量、用水量、用电量、原材料消耗量、产量、碳排放</w:t>
      </w:r>
      <w:r>
        <w:rPr>
          <w:rFonts w:hint="eastAsia" w:ascii="Times New Roman" w:cs="Times New Roman" w:eastAsiaTheme="minorEastAsia"/>
          <w:color w:val="auto"/>
          <w:highlight w:val="none"/>
          <w:lang w:eastAsia="zh-CN"/>
        </w:rPr>
        <w:t>量</w:t>
      </w:r>
      <w:r>
        <w:rPr>
          <w:rFonts w:hint="default" w:ascii="Times New Roman" w:hAnsi="Times New Roman" w:cs="Times New Roman" w:eastAsiaTheme="minorEastAsia"/>
          <w:color w:val="auto"/>
          <w:highlight w:val="none"/>
        </w:rPr>
        <w:t>监测的计量器具配备和管理要求。</w:t>
      </w:r>
    </w:p>
    <w:p w14:paraId="458CD0BA">
      <w:pPr>
        <w:pStyle w:val="7"/>
        <w:tabs>
          <w:tab w:val="left" w:pos="2490"/>
        </w:tabs>
        <w:spacing w:line="360" w:lineRule="auto"/>
        <w:ind w:left="0" w:firstLine="480" w:firstLineChars="200"/>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本规范适用于安徽省内</w:t>
      </w:r>
      <w:r>
        <w:rPr>
          <w:rFonts w:hint="eastAsia" w:asci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两高</w:t>
      </w:r>
      <w:r>
        <w:rPr>
          <w:rFonts w:hint="eastAsia" w:asci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企业监测计量器具配备和管理工作。</w:t>
      </w:r>
    </w:p>
    <w:p w14:paraId="29E478A8">
      <w:pPr>
        <w:pStyle w:val="7"/>
        <w:spacing w:before="260" w:after="40" w:line="360" w:lineRule="auto"/>
        <w:ind w:left="0"/>
        <w:outlineLvl w:val="0"/>
        <w:rPr>
          <w:rFonts w:hint="default" w:ascii="Times New Roman" w:hAnsi="Times New Roman" w:eastAsia="黑体" w:cs="Times New Roman"/>
          <w:b/>
          <w:color w:val="auto"/>
          <w:highlight w:val="none"/>
        </w:rPr>
      </w:pPr>
      <w:bookmarkStart w:id="6" w:name="_Toc15608"/>
      <w:bookmarkStart w:id="7" w:name="_Toc25059"/>
      <w:r>
        <w:rPr>
          <w:rFonts w:hint="default" w:ascii="Times New Roman" w:hAnsi="Times New Roman" w:eastAsia="黑体" w:cs="Times New Roman"/>
          <w:b/>
          <w:color w:val="auto"/>
          <w:highlight w:val="none"/>
          <w:lang w:val="en-US" w:eastAsia="zh-CN"/>
        </w:rPr>
        <w:t xml:space="preserve">2 </w:t>
      </w:r>
      <w:r>
        <w:rPr>
          <w:rFonts w:hint="default" w:ascii="Times New Roman" w:hAnsi="Times New Roman" w:eastAsia="黑体" w:cs="Times New Roman"/>
          <w:b/>
          <w:color w:val="auto"/>
          <w:highlight w:val="none"/>
        </w:rPr>
        <w:t>引用文件</w:t>
      </w:r>
      <w:bookmarkEnd w:id="6"/>
      <w:bookmarkEnd w:id="7"/>
    </w:p>
    <w:p w14:paraId="37BD79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本规范引用了下列文件</w:t>
      </w:r>
      <w:r>
        <w:rPr>
          <w:rFonts w:hint="default" w:ascii="Times New Roman" w:hAnsi="Times New Roman" w:cs="Times New Roman"/>
          <w:color w:val="auto"/>
          <w:sz w:val="24"/>
          <w:szCs w:val="24"/>
          <w:highlight w:val="none"/>
          <w:lang w:eastAsia="zh-CN"/>
        </w:rPr>
        <w:t>：</w:t>
      </w:r>
    </w:p>
    <w:p w14:paraId="4F5E2C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olor w:val="auto"/>
          <w:highlight w:val="none"/>
          <w:lang w:val="en-US" w:eastAsia="zh-CN"/>
        </w:rPr>
      </w:pPr>
      <w:r>
        <w:rPr>
          <w:rFonts w:hint="eastAsia" w:cs="Times New Roman"/>
          <w:color w:val="auto"/>
          <w:sz w:val="24"/>
          <w:szCs w:val="24"/>
          <w:highlight w:val="none"/>
          <w:lang w:val="en-US" w:eastAsia="zh-CN"/>
        </w:rPr>
        <w:t>安徽省“两高”项目管理目录（试行）（皖节能[2022]2号，安徽省节能减排及应对气候变化工作领导小组）</w:t>
      </w:r>
    </w:p>
    <w:p w14:paraId="24737A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JJF 1001  </w:t>
      </w:r>
      <w:r>
        <w:rPr>
          <w:rFonts w:hint="default"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通用计量术语及定义</w:t>
      </w:r>
      <w:r>
        <w:rPr>
          <w:rFonts w:hint="default" w:ascii="Times New Roman" w:hAnsi="Times New Roman" w:cs="Times New Roman"/>
          <w:color w:val="auto"/>
          <w:sz w:val="24"/>
          <w:szCs w:val="24"/>
          <w:highlight w:val="none"/>
          <w:lang w:eastAsia="zh-CN"/>
        </w:rPr>
        <w:t>》</w:t>
      </w:r>
    </w:p>
    <w:p w14:paraId="40A0D3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JJF 1356 《重点用能单位能源计量审查规范》</w:t>
      </w:r>
    </w:p>
    <w:p w14:paraId="5833F0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highlight w:val="none"/>
          <w:lang w:eastAsia="zh-CN"/>
        </w:rPr>
      </w:pPr>
      <w:r>
        <w:rPr>
          <w:rFonts w:hint="default" w:ascii="Times New Roman" w:hAnsi="Times New Roman" w:eastAsia="宋体" w:cs="Times New Roman"/>
          <w:color w:val="auto"/>
          <w:sz w:val="24"/>
          <w:szCs w:val="24"/>
          <w:highlight w:val="none"/>
        </w:rPr>
        <w:t xml:space="preserve">GB 17167 </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用能单位能源计量器具配备和管理通则</w:t>
      </w:r>
      <w:r>
        <w:rPr>
          <w:rFonts w:hint="default" w:ascii="Times New Roman" w:hAnsi="Times New Roman" w:eastAsia="宋体" w:cs="Times New Roman"/>
          <w:color w:val="auto"/>
          <w:sz w:val="24"/>
          <w:szCs w:val="24"/>
          <w:highlight w:val="none"/>
          <w:lang w:eastAsia="zh-CN"/>
        </w:rPr>
        <w:t>》</w:t>
      </w:r>
    </w:p>
    <w:p w14:paraId="3B75AE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auto"/>
          <w:sz w:val="24"/>
          <w:szCs w:val="24"/>
          <w:highlight w:val="none"/>
          <w:lang w:eastAsia="zh-CN"/>
        </w:rPr>
      </w:pPr>
      <w:r>
        <w:rPr>
          <w:rFonts w:hint="default" w:ascii="Times New Roman" w:hAnsi="Times New Roman" w:cs="Times New Roman" w:eastAsiaTheme="minorEastAsia"/>
          <w:color w:val="auto"/>
          <w:highlight w:val="none"/>
        </w:rPr>
        <w:t xml:space="preserve">GB/T 2589  </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综合能耗计算通则</w:t>
      </w:r>
      <w:r>
        <w:rPr>
          <w:rFonts w:hint="default" w:ascii="Times New Roman" w:hAnsi="Times New Roman" w:cs="Times New Roman" w:eastAsiaTheme="minorEastAsia"/>
          <w:color w:val="auto"/>
          <w:highlight w:val="none"/>
          <w:lang w:eastAsia="zh-CN"/>
        </w:rPr>
        <w:t>》</w:t>
      </w:r>
    </w:p>
    <w:p w14:paraId="0229F4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GB</w:t>
      </w:r>
      <w:r>
        <w:rPr>
          <w:rFonts w:hint="default" w:ascii="Times New Roman" w:hAnsi="Times New Roman" w:cs="Times New Roman"/>
          <w:color w:val="auto"/>
          <w:sz w:val="24"/>
          <w:szCs w:val="24"/>
          <w:highlight w:val="none"/>
          <w:lang w:val="en-US" w:eastAsia="zh-CN"/>
        </w:rPr>
        <w:t>/T</w:t>
      </w:r>
      <w:r>
        <w:rPr>
          <w:rFonts w:hint="default" w:ascii="Times New Roman" w:hAnsi="Times New Roman" w:eastAsia="宋体" w:cs="Times New Roman"/>
          <w:color w:val="auto"/>
          <w:sz w:val="24"/>
          <w:szCs w:val="24"/>
          <w:highlight w:val="none"/>
          <w:lang w:val="en-US" w:eastAsia="zh-CN"/>
        </w:rPr>
        <w:t xml:space="preserve"> 32150《工业企业温室气体排放核算和报告</w:t>
      </w:r>
      <w:r>
        <w:rPr>
          <w:rFonts w:hint="default" w:ascii="Times New Roman" w:hAnsi="Times New Roman" w:cs="Times New Roman"/>
          <w:color w:val="auto"/>
          <w:sz w:val="24"/>
          <w:szCs w:val="24"/>
          <w:highlight w:val="none"/>
          <w:lang w:val="en-US" w:eastAsia="zh-CN"/>
        </w:rPr>
        <w:t>通则</w:t>
      </w:r>
      <w:r>
        <w:rPr>
          <w:rFonts w:hint="default" w:ascii="Times New Roman" w:hAnsi="Times New Roman" w:eastAsia="宋体" w:cs="Times New Roman"/>
          <w:color w:val="auto"/>
          <w:sz w:val="24"/>
          <w:szCs w:val="24"/>
          <w:highlight w:val="none"/>
          <w:lang w:val="en-US" w:eastAsia="zh-CN"/>
        </w:rPr>
        <w:t>》</w:t>
      </w:r>
    </w:p>
    <w:p w14:paraId="1FAF65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宋体" w:cs="Times New Roman"/>
          <w:color w:val="auto"/>
          <w:sz w:val="24"/>
          <w:szCs w:val="24"/>
          <w:highlight w:val="none"/>
          <w:lang w:val="en-US" w:eastAsia="zh-CN"/>
        </w:rPr>
        <w:t>GB∕T 17215.321-2021</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 xml:space="preserve"> 电测量设备（交流） 特殊要求 第21部分：静止式有功电能表（A级、B级、C级、D级和E级）</w:t>
      </w:r>
      <w:r>
        <w:rPr>
          <w:rFonts w:hint="default" w:ascii="Times New Roman" w:hAnsi="Times New Roman" w:cs="Times New Roman"/>
          <w:color w:val="auto"/>
          <w:sz w:val="24"/>
          <w:szCs w:val="24"/>
          <w:highlight w:val="none"/>
          <w:lang w:val="en-US" w:eastAsia="zh-CN"/>
        </w:rPr>
        <w:t>》</w:t>
      </w:r>
    </w:p>
    <w:p w14:paraId="663D8F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JJG 672-2018《氧弹热量计》</w:t>
      </w:r>
    </w:p>
    <w:p w14:paraId="7F09F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凡是注日期的引用文件，仅注日期的版本适用于该规范</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凡是不注日期的引用文件，其最新版本</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包括所有的修改单</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适用于本规范。</w:t>
      </w:r>
    </w:p>
    <w:p w14:paraId="003E66C6">
      <w:pPr>
        <w:pStyle w:val="7"/>
        <w:spacing w:before="260" w:after="40" w:line="360" w:lineRule="auto"/>
        <w:ind w:left="0"/>
        <w:outlineLvl w:val="0"/>
        <w:rPr>
          <w:rFonts w:hint="default" w:ascii="Times New Roman" w:hAnsi="Times New Roman" w:eastAsia="黑体" w:cs="Times New Roman"/>
          <w:b/>
          <w:color w:val="auto"/>
          <w:highlight w:val="none"/>
          <w:lang w:val="en-US" w:eastAsia="zh-CN"/>
        </w:rPr>
      </w:pPr>
      <w:bookmarkStart w:id="8" w:name="_Toc23167"/>
      <w:bookmarkStart w:id="9" w:name="_Toc30726"/>
      <w:r>
        <w:rPr>
          <w:rFonts w:hint="default" w:ascii="Times New Roman" w:hAnsi="Times New Roman" w:eastAsia="黑体" w:cs="Times New Roman"/>
          <w:b/>
          <w:color w:val="auto"/>
          <w:highlight w:val="none"/>
          <w:lang w:val="en-US" w:eastAsia="zh-CN"/>
        </w:rPr>
        <w:t>3 术语</w:t>
      </w:r>
      <w:bookmarkEnd w:id="8"/>
      <w:r>
        <w:rPr>
          <w:rFonts w:hint="eastAsia" w:ascii="Times New Roman" w:eastAsia="黑体" w:cs="Times New Roman"/>
          <w:b/>
          <w:color w:val="auto"/>
          <w:highlight w:val="none"/>
          <w:lang w:val="en-US" w:eastAsia="zh-CN"/>
        </w:rPr>
        <w:t>和定义</w:t>
      </w:r>
      <w:bookmarkEnd w:id="9"/>
    </w:p>
    <w:p w14:paraId="028A30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JJF 1001</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、JJF 1356 、GB</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17167</w:t>
      </w:r>
      <w:r>
        <w:rPr>
          <w:rFonts w:hint="default"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GB/T 2589</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GB/T 32150、JJG 672界定的和以下名词术语均适用于本规范。</w:t>
      </w:r>
    </w:p>
    <w:p w14:paraId="11F468B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3.1 </w:t>
      </w:r>
      <w:r>
        <w:rPr>
          <w:rFonts w:hint="eastAsia"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high energy consumption and high emissions e</w:t>
      </w:r>
      <w:r>
        <w:rPr>
          <w:rFonts w:hint="default" w:ascii="Times New Roman" w:hAnsi="Times New Roman" w:eastAsia="宋体" w:cs="Times New Roman"/>
          <w:color w:val="auto"/>
          <w:sz w:val="24"/>
          <w:szCs w:val="24"/>
          <w:highlight w:val="none"/>
          <w:lang w:val="en-US" w:eastAsia="zh-CN"/>
        </w:rPr>
        <w:t>nterprise</w:t>
      </w:r>
    </w:p>
    <w:p w14:paraId="6A021C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4"/>
          <w:highlight w:val="none"/>
          <w:lang w:eastAsia="zh-CN"/>
        </w:rPr>
      </w:pP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企业是指属于</w:t>
      </w:r>
      <w:r>
        <w:rPr>
          <w:rFonts w:hint="eastAsia" w:cs="Times New Roman"/>
          <w:color w:val="auto"/>
          <w:sz w:val="24"/>
          <w:szCs w:val="24"/>
          <w:highlight w:val="none"/>
          <w:lang w:eastAsia="zh-CN"/>
        </w:rPr>
        <w:t>“</w:t>
      </w:r>
      <w:r>
        <w:rPr>
          <w:rFonts w:hint="eastAsia" w:cs="Times New Roman"/>
          <w:color w:val="auto"/>
          <w:sz w:val="24"/>
          <w:szCs w:val="24"/>
          <w:highlight w:val="none"/>
          <w:lang w:val="en-US" w:eastAsia="zh-CN"/>
        </w:rPr>
        <w:t>高耗能</w:t>
      </w:r>
      <w:r>
        <w:rPr>
          <w:rFonts w:hint="eastAsia" w:cs="Times New Roman"/>
          <w:color w:val="auto"/>
          <w:sz w:val="24"/>
          <w:szCs w:val="24"/>
          <w:highlight w:val="none"/>
          <w:lang w:eastAsia="zh-CN"/>
        </w:rPr>
        <w:t>”、</w:t>
      </w:r>
      <w:r>
        <w:rPr>
          <w:rFonts w:hint="eastAsia" w:cs="Times New Roman"/>
          <w:color w:val="auto"/>
          <w:sz w:val="24"/>
          <w:szCs w:val="24"/>
          <w:highlight w:val="none"/>
          <w:lang w:val="en-US" w:eastAsia="zh-CN"/>
        </w:rPr>
        <w:t>“高排放”</w:t>
      </w:r>
      <w:r>
        <w:rPr>
          <w:rFonts w:hint="default" w:ascii="Times New Roman" w:hAnsi="Times New Roman" w:eastAsia="宋体" w:cs="Times New Roman"/>
          <w:color w:val="auto"/>
          <w:sz w:val="24"/>
          <w:szCs w:val="24"/>
          <w:highlight w:val="none"/>
        </w:rPr>
        <w:t>行业的企业</w:t>
      </w:r>
      <w:r>
        <w:rPr>
          <w:rFonts w:hint="default" w:ascii="Times New Roman" w:hAnsi="Times New Roman" w:cs="Times New Roman"/>
          <w:color w:val="auto"/>
          <w:sz w:val="24"/>
          <w:szCs w:val="24"/>
          <w:highlight w:val="none"/>
          <w:lang w:eastAsia="zh-CN"/>
        </w:rPr>
        <w:t>。</w:t>
      </w:r>
    </w:p>
    <w:p w14:paraId="05BF7FEE">
      <w:pPr>
        <w:ind w:left="0" w:leftChars="0" w:firstLine="480" w:firstLineChars="200"/>
        <w:outlineLvl w:val="9"/>
        <w:rPr>
          <w:rFonts w:hint="default" w:ascii="Times New Roman" w:hAnsi="Times New Roman" w:eastAsia="宋体" w:cs="Times New Roman"/>
          <w:color w:val="auto"/>
          <w:kern w:val="0"/>
          <w:sz w:val="24"/>
          <w:szCs w:val="24"/>
          <w:highlight w:val="none"/>
          <w:lang w:val="en-US" w:eastAsia="zh-CN" w:bidi="ar-SA"/>
        </w:rPr>
      </w:pPr>
      <w:r>
        <w:rPr>
          <w:rFonts w:hint="eastAsia" w:cs="Times New Roman"/>
          <w:color w:val="auto"/>
          <w:kern w:val="0"/>
          <w:sz w:val="24"/>
          <w:szCs w:val="24"/>
          <w:highlight w:val="none"/>
          <w:lang w:val="en-US" w:eastAsia="zh-CN" w:bidi="ar-SA"/>
        </w:rPr>
        <w:t>“</w:t>
      </w:r>
      <w:r>
        <w:rPr>
          <w:rFonts w:hint="default" w:ascii="Times New Roman" w:hAnsi="Times New Roman" w:eastAsia="宋体" w:cs="Times New Roman"/>
          <w:color w:val="auto"/>
          <w:kern w:val="0"/>
          <w:sz w:val="24"/>
          <w:szCs w:val="24"/>
          <w:highlight w:val="none"/>
          <w:lang w:val="en-US" w:eastAsia="zh-CN" w:bidi="ar-SA"/>
        </w:rPr>
        <w:t>两高</w:t>
      </w:r>
      <w:r>
        <w:rPr>
          <w:rFonts w:hint="eastAsia" w:cs="Times New Roman"/>
          <w:color w:val="auto"/>
          <w:kern w:val="0"/>
          <w:sz w:val="24"/>
          <w:szCs w:val="24"/>
          <w:highlight w:val="none"/>
          <w:lang w:val="en-US" w:eastAsia="zh-CN" w:bidi="ar-SA"/>
        </w:rPr>
        <w:t>”</w:t>
      </w:r>
      <w:r>
        <w:rPr>
          <w:rFonts w:hint="default" w:ascii="Times New Roman" w:hAnsi="Times New Roman" w:eastAsia="宋体" w:cs="Times New Roman"/>
          <w:color w:val="auto"/>
          <w:kern w:val="0"/>
          <w:sz w:val="24"/>
          <w:szCs w:val="24"/>
          <w:highlight w:val="none"/>
          <w:lang w:val="en-US" w:eastAsia="zh-CN" w:bidi="ar-SA"/>
        </w:rPr>
        <w:t>企业范围根据相关要求动态调整。</w:t>
      </w:r>
    </w:p>
    <w:p w14:paraId="43F25AE1">
      <w:pPr>
        <w:ind w:left="0" w:leftChars="0" w:firstLine="480" w:firstLineChars="200"/>
        <w:outlineLvl w:val="9"/>
        <w:rPr>
          <w:rFonts w:hint="default" w:ascii="Times New Roman" w:hAnsi="Times New Roman" w:eastAsia="宋体" w:cs="Times New Roman"/>
          <w:color w:val="auto"/>
          <w:kern w:val="0"/>
          <w:sz w:val="24"/>
          <w:szCs w:val="24"/>
          <w:highlight w:val="none"/>
          <w:lang w:val="en-US" w:eastAsia="zh-CN" w:bidi="ar-SA"/>
        </w:rPr>
      </w:pPr>
      <w:r>
        <w:rPr>
          <w:rFonts w:hint="eastAsia" w:ascii="Times New Roman" w:hAnsi="Times New Roman" w:eastAsia="宋体" w:cs="Times New Roman"/>
          <w:color w:val="auto"/>
          <w:kern w:val="0"/>
          <w:sz w:val="24"/>
          <w:szCs w:val="24"/>
          <w:highlight w:val="none"/>
          <w:lang w:val="en-US" w:eastAsia="zh-CN" w:bidi="ar-SA"/>
        </w:rPr>
        <w:t>[关于加强高耗能、高排放建设项目生态环境源头防控的指导意见（环环评〔2021〕45号，生态环境部）]</w:t>
      </w:r>
    </w:p>
    <w:p w14:paraId="6D0930F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3.</w:t>
      </w:r>
      <w:r>
        <w:rPr>
          <w:rFonts w:hint="eastAsia"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cs="Times New Roman"/>
          <w:color w:val="auto"/>
          <w:sz w:val="24"/>
          <w:szCs w:val="24"/>
          <w:highlight w:val="none"/>
          <w:lang w:val="en-US" w:eastAsia="zh-CN"/>
        </w:rPr>
        <w:t>碳排放</w:t>
      </w:r>
      <w:r>
        <w:rPr>
          <w:rFonts w:hint="default" w:ascii="Times New Roman" w:hAnsi="Times New Roman" w:eastAsia="宋体" w:cs="Times New Roman"/>
          <w:color w:val="auto"/>
          <w:sz w:val="24"/>
          <w:szCs w:val="24"/>
          <w:highlight w:val="none"/>
          <w:lang w:val="en-US" w:eastAsia="zh-CN"/>
        </w:rPr>
        <w:t xml:space="preserve"> carbon emission</w:t>
      </w:r>
      <w:r>
        <w:rPr>
          <w:rFonts w:hint="eastAsia" w:cs="Times New Roman"/>
          <w:color w:val="auto"/>
          <w:sz w:val="24"/>
          <w:szCs w:val="24"/>
          <w:highlight w:val="none"/>
          <w:lang w:val="en-US" w:eastAsia="zh-CN"/>
        </w:rPr>
        <w:t xml:space="preserve"> </w:t>
      </w:r>
    </w:p>
    <w:p w14:paraId="0DCCB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是指在特定时段内向大气中释放温室气体的过程。</w:t>
      </w:r>
    </w:p>
    <w:p w14:paraId="55D7A972">
      <w:pPr>
        <w:ind w:left="0" w:leftChars="0" w:firstLine="480" w:firstLineChars="200"/>
        <w:outlineLvl w:val="9"/>
        <w:rPr>
          <w:rFonts w:hint="default"/>
          <w:lang w:val="en-US" w:eastAsia="zh-CN"/>
        </w:rPr>
      </w:pPr>
      <w:r>
        <w:rPr>
          <w:rFonts w:hint="eastAsia" w:ascii="Times New Roman" w:eastAsia="宋体" w:cs="Times New Roman"/>
          <w:color w:val="auto"/>
          <w:kern w:val="0"/>
          <w:sz w:val="24"/>
          <w:szCs w:val="24"/>
          <w:highlight w:val="none"/>
          <w:lang w:val="en-US" w:eastAsia="zh-CN" w:bidi="ar-SA"/>
        </w:rPr>
        <w:t>[GB/T 32151.8-2023，3.2]</w:t>
      </w:r>
    </w:p>
    <w:p w14:paraId="5F8ECAA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3</w:t>
      </w:r>
      <w:r>
        <w:rPr>
          <w:rFonts w:hint="default" w:ascii="Times New Roman" w:hAnsi="Times New Roman" w:eastAsia="宋体" w:cs="Times New Roman"/>
          <w:color w:val="auto"/>
          <w:sz w:val="24"/>
          <w:szCs w:val="24"/>
          <w:highlight w:val="none"/>
          <w:lang w:val="en-US" w:eastAsia="zh-CN"/>
        </w:rPr>
        <w:t>.</w:t>
      </w:r>
      <w:r>
        <w:rPr>
          <w:rFonts w:hint="eastAsia"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企</w:t>
      </w:r>
      <w:r>
        <w:rPr>
          <w:rFonts w:hint="default" w:ascii="Times New Roman" w:hAnsi="Times New Roman" w:eastAsia="宋体" w:cs="Times New Roman"/>
          <w:color w:val="auto"/>
          <w:sz w:val="24"/>
          <w:szCs w:val="24"/>
          <w:highlight w:val="none"/>
        </w:rPr>
        <w:t>业监测计量器具</w:t>
      </w:r>
      <w:r>
        <w:rPr>
          <w:rFonts w:hint="default" w:ascii="Times New Roman" w:hAnsi="Times New Roman" w:eastAsia="宋体" w:cs="Times New Roman"/>
          <w:color w:val="auto"/>
          <w:sz w:val="24"/>
          <w:szCs w:val="24"/>
          <w:highlight w:val="none"/>
          <w:lang w:val="en-US" w:eastAsia="zh-CN"/>
        </w:rPr>
        <w:t xml:space="preserve"> measuring instrument for monitoring in </w:t>
      </w:r>
      <w:r>
        <w:rPr>
          <w:rFonts w:hint="eastAsia" w:cs="Times New Roman"/>
          <w:color w:val="auto"/>
          <w:sz w:val="24"/>
          <w:szCs w:val="24"/>
          <w:highlight w:val="none"/>
          <w:lang w:val="en-US" w:eastAsia="zh-CN"/>
        </w:rPr>
        <w:t>high energy consumption and high emissions e</w:t>
      </w:r>
      <w:r>
        <w:rPr>
          <w:rFonts w:hint="default" w:ascii="Times New Roman" w:hAnsi="Times New Roman" w:eastAsia="宋体" w:cs="Times New Roman"/>
          <w:color w:val="auto"/>
          <w:sz w:val="24"/>
          <w:szCs w:val="24"/>
          <w:highlight w:val="none"/>
          <w:lang w:val="en-US" w:eastAsia="zh-CN"/>
        </w:rPr>
        <w:t>nterprise</w:t>
      </w:r>
    </w:p>
    <w:p w14:paraId="3968DC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rPr>
      </w:pP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企</w:t>
      </w:r>
      <w:r>
        <w:rPr>
          <w:rFonts w:hint="default" w:ascii="Times New Roman" w:hAnsi="Times New Roman" w:eastAsia="宋体" w:cs="Times New Roman"/>
          <w:color w:val="auto"/>
          <w:sz w:val="24"/>
          <w:szCs w:val="24"/>
          <w:highlight w:val="none"/>
        </w:rPr>
        <w:t>业监测计量器具是指</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企业用于综合能源消费量、煤炭消费量、用水量、用电量、原材料消耗量、产量、</w:t>
      </w:r>
      <w:r>
        <w:rPr>
          <w:rFonts w:hint="default" w:ascii="Times New Roman" w:hAnsi="Times New Roman" w:cs="Times New Roman"/>
          <w:color w:val="auto"/>
          <w:sz w:val="24"/>
          <w:szCs w:val="24"/>
          <w:highlight w:val="none"/>
          <w:lang w:val="en-US" w:eastAsia="zh-CN"/>
        </w:rPr>
        <w:t>碳</w:t>
      </w:r>
      <w:r>
        <w:rPr>
          <w:rFonts w:hint="default" w:ascii="Times New Roman" w:hAnsi="Times New Roman" w:eastAsia="宋体" w:cs="Times New Roman"/>
          <w:color w:val="auto"/>
          <w:sz w:val="24"/>
          <w:szCs w:val="24"/>
          <w:highlight w:val="none"/>
        </w:rPr>
        <w:t>排放监测的计量器具。</w:t>
      </w:r>
    </w:p>
    <w:p w14:paraId="7CFFC47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3.</w:t>
      </w:r>
      <w:r>
        <w:rPr>
          <w:rFonts w:hint="eastAsia"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原材料计量器具</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measuring</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instrument</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o</w:t>
      </w:r>
      <w:r>
        <w:rPr>
          <w:rFonts w:hint="eastAsia" w:cs="Times New Roman"/>
          <w:color w:val="auto"/>
          <w:sz w:val="24"/>
          <w:szCs w:val="24"/>
          <w:highlight w:val="none"/>
          <w:lang w:val="en-US" w:eastAsia="zh-CN"/>
        </w:rPr>
        <w:t xml:space="preserve">f </w:t>
      </w:r>
      <w:r>
        <w:rPr>
          <w:rFonts w:hint="default" w:ascii="Times New Roman" w:hAnsi="Times New Roman" w:eastAsia="宋体" w:cs="Times New Roman"/>
          <w:color w:val="auto"/>
          <w:sz w:val="24"/>
          <w:szCs w:val="24"/>
          <w:highlight w:val="none"/>
        </w:rPr>
        <w:t>raw material</w:t>
      </w:r>
    </w:p>
    <w:p w14:paraId="6504566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原材料计量器具是指用于测量原材料使用量的计量器具。原材料主要包括</w:t>
      </w:r>
      <w:r>
        <w:rPr>
          <w:rFonts w:hint="default" w:ascii="Times New Roman" w:hAnsi="Times New Roman" w:eastAsia="宋体" w:cs="Times New Roman"/>
          <w:color w:val="auto"/>
          <w:sz w:val="24"/>
          <w:szCs w:val="24"/>
          <w:highlight w:val="none"/>
          <w:lang w:eastAsia="zh-CN"/>
        </w:rPr>
        <w:t>：</w:t>
      </w:r>
    </w:p>
    <w:p w14:paraId="453074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a)通过各种运输方式进入</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企业的主要原材料</w:t>
      </w:r>
      <w:r>
        <w:rPr>
          <w:rFonts w:hint="default" w:ascii="Times New Roman" w:hAnsi="Times New Roman" w:eastAsia="宋体" w:cs="Times New Roman"/>
          <w:color w:val="auto"/>
          <w:sz w:val="24"/>
          <w:szCs w:val="24"/>
          <w:highlight w:val="none"/>
          <w:lang w:eastAsia="zh-CN"/>
        </w:rPr>
        <w:t>；</w:t>
      </w:r>
    </w:p>
    <w:p w14:paraId="1E662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b)进入主要生产装置的原材料。</w:t>
      </w:r>
    </w:p>
    <w:p w14:paraId="4F36CAC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w:t>
      </w:r>
      <w:r>
        <w:rPr>
          <w:rFonts w:hint="eastAsia"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 xml:space="preserve"> 产量计量器具 measuring instrument of</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product output</w:t>
      </w:r>
    </w:p>
    <w:p w14:paraId="5FFD26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产量计量器具是用于测量主要产品产量的计量器具。主要产品包括</w:t>
      </w:r>
      <w:r>
        <w:rPr>
          <w:rFonts w:hint="default" w:ascii="Times New Roman" w:hAnsi="Times New Roman" w:eastAsia="宋体" w:cs="Times New Roman"/>
          <w:color w:val="auto"/>
          <w:sz w:val="24"/>
          <w:szCs w:val="24"/>
          <w:highlight w:val="none"/>
          <w:lang w:eastAsia="zh-CN"/>
        </w:rPr>
        <w:t>：</w:t>
      </w:r>
    </w:p>
    <w:p w14:paraId="574382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a)</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企业的主要产品</w:t>
      </w:r>
      <w:r>
        <w:rPr>
          <w:rFonts w:hint="default" w:ascii="Times New Roman" w:hAnsi="Times New Roman" w:eastAsia="宋体" w:cs="Times New Roman"/>
          <w:color w:val="auto"/>
          <w:sz w:val="24"/>
          <w:szCs w:val="24"/>
          <w:highlight w:val="none"/>
          <w:lang w:eastAsia="zh-CN"/>
        </w:rPr>
        <w:t>；</w:t>
      </w:r>
    </w:p>
    <w:p w14:paraId="1FDC6E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b) 主要生产装置的主要产成品</w:t>
      </w:r>
      <w:r>
        <w:rPr>
          <w:rFonts w:hint="default" w:ascii="Times New Roman" w:hAnsi="Times New Roman" w:eastAsia="宋体" w:cs="Times New Roman"/>
          <w:color w:val="auto"/>
          <w:sz w:val="24"/>
          <w:szCs w:val="24"/>
          <w:highlight w:val="none"/>
          <w:lang w:eastAsia="zh-CN"/>
        </w:rPr>
        <w:t>。</w:t>
      </w:r>
    </w:p>
    <w:p w14:paraId="6C18F32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3.</w:t>
      </w:r>
      <w:r>
        <w:rPr>
          <w:rFonts w:hint="eastAsia"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cs="Times New Roman"/>
          <w:color w:val="auto"/>
          <w:sz w:val="24"/>
          <w:szCs w:val="24"/>
          <w:highlight w:val="none"/>
          <w:lang w:val="en-US" w:eastAsia="zh-CN"/>
        </w:rPr>
        <w:t>碳</w:t>
      </w:r>
      <w:r>
        <w:rPr>
          <w:rFonts w:hint="default" w:ascii="Times New Roman" w:hAnsi="Times New Roman" w:eastAsia="宋体" w:cs="Times New Roman"/>
          <w:color w:val="auto"/>
          <w:sz w:val="24"/>
          <w:szCs w:val="24"/>
          <w:highlight w:val="none"/>
        </w:rPr>
        <w:t>排放计量器具measuring</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instrument for</w:t>
      </w:r>
      <w:r>
        <w:rPr>
          <w:rFonts w:hint="default" w:ascii="Times New Roman" w:hAnsi="Times New Roman" w:cs="Times New Roman"/>
          <w:color w:val="auto"/>
          <w:sz w:val="24"/>
          <w:szCs w:val="24"/>
          <w:highlight w:val="none"/>
          <w:lang w:val="en-US" w:eastAsia="zh-CN"/>
        </w:rPr>
        <w:t xml:space="preserve"> c</w:t>
      </w:r>
      <w:r>
        <w:rPr>
          <w:rFonts w:hint="default" w:ascii="Times New Roman" w:hAnsi="Times New Roman" w:eastAsia="宋体" w:cs="Times New Roman"/>
          <w:color w:val="auto"/>
          <w:sz w:val="24"/>
          <w:szCs w:val="24"/>
          <w:highlight w:val="none"/>
        </w:rPr>
        <w:t>arbon emission</w:t>
      </w:r>
    </w:p>
    <w:p w14:paraId="7E997E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碳排放计量器具是指直接或间接用于碳排放监测、核算（核查）的计量器具。碳</w:t>
      </w:r>
      <w:r>
        <w:rPr>
          <w:rFonts w:hint="default" w:ascii="Times New Roman" w:hAnsi="Times New Roman" w:cs="Times New Roman"/>
          <w:color w:val="auto"/>
          <w:sz w:val="24"/>
          <w:szCs w:val="24"/>
          <w:highlight w:val="none"/>
          <w:lang w:val="en-US" w:eastAsia="zh-CN"/>
        </w:rPr>
        <w:t>排放</w:t>
      </w:r>
      <w:r>
        <w:rPr>
          <w:rFonts w:hint="default" w:ascii="Times New Roman" w:hAnsi="Times New Roman" w:eastAsia="宋体" w:cs="Times New Roman"/>
          <w:color w:val="auto"/>
          <w:sz w:val="24"/>
          <w:szCs w:val="24"/>
          <w:highlight w:val="none"/>
        </w:rPr>
        <w:t>包括</w:t>
      </w:r>
      <w:r>
        <w:rPr>
          <w:rFonts w:hint="default" w:ascii="Times New Roman" w:hAnsi="Times New Roman" w:eastAsia="宋体" w:cs="Times New Roman"/>
          <w:color w:val="auto"/>
          <w:sz w:val="24"/>
          <w:szCs w:val="24"/>
          <w:highlight w:val="none"/>
          <w:lang w:eastAsia="zh-CN"/>
        </w:rPr>
        <w:t>：</w:t>
      </w:r>
    </w:p>
    <w:p w14:paraId="0DF31E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a)</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w:t>
      </w:r>
      <w:r>
        <w:rPr>
          <w:rFonts w:hint="default" w:ascii="Times New Roman" w:hAnsi="Times New Roman" w:cs="Times New Roman"/>
          <w:color w:val="auto"/>
          <w:sz w:val="24"/>
          <w:szCs w:val="24"/>
          <w:highlight w:val="none"/>
          <w:lang w:val="en-US" w:eastAsia="zh-CN"/>
        </w:rPr>
        <w:t>生产过程中产生的碳排放</w:t>
      </w:r>
      <w:r>
        <w:rPr>
          <w:rFonts w:hint="default" w:ascii="Times New Roman" w:hAnsi="Times New Roman" w:eastAsia="宋体" w:cs="Times New Roman"/>
          <w:color w:val="auto"/>
          <w:sz w:val="24"/>
          <w:szCs w:val="24"/>
          <w:highlight w:val="none"/>
          <w:lang w:eastAsia="zh-CN"/>
        </w:rPr>
        <w:t>；</w:t>
      </w:r>
    </w:p>
    <w:p w14:paraId="5255A3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b) 主要生产装置</w:t>
      </w:r>
      <w:r>
        <w:rPr>
          <w:rFonts w:hint="default" w:ascii="Times New Roman" w:hAnsi="Times New Roman" w:cs="Times New Roman"/>
          <w:color w:val="auto"/>
          <w:sz w:val="24"/>
          <w:szCs w:val="24"/>
          <w:highlight w:val="none"/>
          <w:lang w:val="en-US" w:eastAsia="zh-CN"/>
        </w:rPr>
        <w:t>的碳排放</w:t>
      </w:r>
      <w:r>
        <w:rPr>
          <w:rFonts w:hint="default" w:ascii="Times New Roman" w:hAnsi="Times New Roman" w:eastAsia="宋体" w:cs="Times New Roman"/>
          <w:color w:val="auto"/>
          <w:sz w:val="24"/>
          <w:szCs w:val="24"/>
          <w:highlight w:val="none"/>
          <w:lang w:eastAsia="zh-CN"/>
        </w:rPr>
        <w:t>。</w:t>
      </w:r>
    </w:p>
    <w:p w14:paraId="0970AB10">
      <w:pPr>
        <w:pStyle w:val="7"/>
        <w:spacing w:before="260" w:after="40" w:line="360" w:lineRule="auto"/>
        <w:ind w:left="0"/>
        <w:outlineLvl w:val="0"/>
        <w:rPr>
          <w:rFonts w:hint="default" w:ascii="Times New Roman" w:hAnsi="Times New Roman" w:eastAsia="黑体" w:cs="Times New Roman"/>
          <w:b/>
          <w:color w:val="auto"/>
          <w:highlight w:val="none"/>
          <w:lang w:val="en-US" w:eastAsia="zh-CN"/>
        </w:rPr>
      </w:pPr>
      <w:bookmarkStart w:id="10" w:name="_Toc17549"/>
      <w:bookmarkStart w:id="11" w:name="_Toc16044"/>
      <w:r>
        <w:rPr>
          <w:rFonts w:hint="default" w:ascii="Times New Roman" w:hAnsi="Times New Roman" w:eastAsia="黑体" w:cs="Times New Roman"/>
          <w:b/>
          <w:color w:val="auto"/>
          <w:highlight w:val="none"/>
          <w:lang w:val="en-US" w:eastAsia="zh-CN"/>
        </w:rPr>
        <w:t>4 计量器具配备</w:t>
      </w:r>
      <w:bookmarkEnd w:id="10"/>
      <w:bookmarkEnd w:id="11"/>
    </w:p>
    <w:p w14:paraId="486E4F9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auto"/>
          <w:sz w:val="24"/>
          <w:szCs w:val="24"/>
          <w:highlight w:val="none"/>
        </w:rPr>
      </w:pPr>
      <w:bookmarkStart w:id="12" w:name="_Toc30924"/>
      <w:bookmarkStart w:id="13" w:name="_Toc469"/>
      <w:r>
        <w:rPr>
          <w:rFonts w:hint="default" w:ascii="Times New Roman" w:hAnsi="Times New Roman" w:eastAsia="宋体" w:cs="Times New Roman"/>
          <w:color w:val="auto"/>
          <w:sz w:val="24"/>
          <w:szCs w:val="24"/>
          <w:highlight w:val="none"/>
        </w:rPr>
        <w:t>4.1 总体要求</w:t>
      </w:r>
      <w:bookmarkEnd w:id="12"/>
      <w:bookmarkEnd w:id="13"/>
    </w:p>
    <w:p w14:paraId="07E1463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 xml:space="preserve">4.1.1 </w:t>
      </w:r>
      <w:r>
        <w:rPr>
          <w:rFonts w:hint="default" w:ascii="Times New Roman" w:hAnsi="Times New Roman" w:eastAsia="宋体" w:cs="Times New Roman"/>
          <w:color w:val="auto"/>
          <w:sz w:val="24"/>
          <w:szCs w:val="24"/>
          <w:highlight w:val="none"/>
        </w:rPr>
        <w:t>应满足</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企业计量分类、分级、分项等的要求</w:t>
      </w:r>
      <w:r>
        <w:rPr>
          <w:rFonts w:hint="default" w:ascii="Times New Roman" w:hAnsi="Times New Roman" w:eastAsia="宋体" w:cs="Times New Roman"/>
          <w:color w:val="auto"/>
          <w:sz w:val="24"/>
          <w:szCs w:val="24"/>
          <w:highlight w:val="none"/>
          <w:lang w:eastAsia="zh-CN"/>
        </w:rPr>
        <w:t>。</w:t>
      </w:r>
    </w:p>
    <w:p w14:paraId="1C70161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4.1.2 计量器具的性能应满足相应的生产工艺及使用环境</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如温度、温度变化率、湿度、照明、振动噪声、粉尘、腐蚀、电磁干扰、防爆等</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要求。</w:t>
      </w:r>
    </w:p>
    <w:p w14:paraId="2D68B66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4.1.3 宜采用具有自动采集和远程传输功能的计量器具。</w:t>
      </w:r>
    </w:p>
    <w:p w14:paraId="0FA9F41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auto"/>
          <w:sz w:val="24"/>
          <w:szCs w:val="24"/>
          <w:highlight w:val="none"/>
        </w:rPr>
      </w:pPr>
      <w:bookmarkStart w:id="14" w:name="_Toc12879"/>
      <w:bookmarkStart w:id="15" w:name="_Toc32675"/>
      <w:r>
        <w:rPr>
          <w:rFonts w:hint="default" w:ascii="Times New Roman" w:hAnsi="Times New Roman" w:eastAsia="宋体" w:cs="Times New Roman"/>
          <w:color w:val="auto"/>
          <w:sz w:val="24"/>
          <w:szCs w:val="24"/>
          <w:highlight w:val="none"/>
        </w:rPr>
        <w:t>4.2</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能源计量器具配备要求</w:t>
      </w:r>
      <w:bookmarkEnd w:id="14"/>
      <w:bookmarkEnd w:id="15"/>
    </w:p>
    <w:p w14:paraId="6CBBC4F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4.2.1 应满足GB 17167《用能单位能源计量器具配备和管理通则》和相应行业的能源计量器具配备要求</w:t>
      </w:r>
      <w:r>
        <w:rPr>
          <w:rFonts w:hint="default" w:ascii="Times New Roman" w:hAnsi="Times New Roman" w:cs="Times New Roman"/>
          <w:color w:val="auto"/>
          <w:sz w:val="24"/>
          <w:szCs w:val="24"/>
          <w:highlight w:val="none"/>
          <w:lang w:eastAsia="zh-CN"/>
        </w:rPr>
        <w:t>。</w:t>
      </w:r>
    </w:p>
    <w:p w14:paraId="2A69703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4.2.2 应满足</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企业和主要生产装置的综合能源消费量、煤炭消费量、用水量、用电量等能源计量的要求</w:t>
      </w:r>
      <w:r>
        <w:rPr>
          <w:rFonts w:hint="default" w:ascii="Times New Roman" w:hAnsi="Times New Roman" w:eastAsia="宋体" w:cs="Times New Roman"/>
          <w:color w:val="auto"/>
          <w:sz w:val="24"/>
          <w:szCs w:val="24"/>
          <w:highlight w:val="none"/>
          <w:lang w:eastAsia="zh-CN"/>
        </w:rPr>
        <w:t>。</w:t>
      </w:r>
    </w:p>
    <w:p w14:paraId="493D9ED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4.2.3 配备率应达到 100</w:t>
      </w:r>
      <w:r>
        <w:rPr>
          <w:rFonts w:hint="default" w:ascii="Times New Roman" w:hAnsi="Times New Roman" w:eastAsia="宋体" w:cs="Times New Roman"/>
          <w:color w:val="auto"/>
          <w:sz w:val="24"/>
          <w:szCs w:val="24"/>
          <w:highlight w:val="none"/>
          <w:lang w:val="en-US" w:eastAsia="zh-CN"/>
        </w:rPr>
        <w:t>%。</w:t>
      </w:r>
    </w:p>
    <w:p w14:paraId="067DF82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4.2.4 </w:t>
      </w:r>
      <w:r>
        <w:rPr>
          <w:rFonts w:hint="default" w:ascii="Times New Roman" w:hAnsi="Times New Roman" w:eastAsia="宋体" w:cs="Times New Roman"/>
          <w:color w:val="auto"/>
          <w:sz w:val="24"/>
          <w:szCs w:val="24"/>
          <w:highlight w:val="none"/>
        </w:rPr>
        <w:t>能源作为生产原料使用时，其计量器具的准确度等级还应满足相应的生产工艺要求。</w:t>
      </w:r>
    </w:p>
    <w:p w14:paraId="709220E9">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auto"/>
          <w:sz w:val="24"/>
          <w:szCs w:val="24"/>
          <w:highlight w:val="none"/>
        </w:rPr>
      </w:pPr>
      <w:bookmarkStart w:id="16" w:name="_Toc20459"/>
      <w:bookmarkStart w:id="17" w:name="_Toc13597"/>
      <w:r>
        <w:rPr>
          <w:rFonts w:hint="default" w:ascii="Times New Roman" w:hAnsi="Times New Roman" w:eastAsia="宋体" w:cs="Times New Roman"/>
          <w:color w:val="auto"/>
          <w:sz w:val="24"/>
          <w:szCs w:val="24"/>
          <w:highlight w:val="none"/>
        </w:rPr>
        <w:t>4.3</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原材料计量器具配备要求</w:t>
      </w:r>
      <w:bookmarkEnd w:id="16"/>
      <w:bookmarkEnd w:id="17"/>
    </w:p>
    <w:p w14:paraId="1F383FF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4.3.1 应明确主要原材料种类和计量方式。</w:t>
      </w:r>
    </w:p>
    <w:p w14:paraId="3295E7B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4.3.2 </w:t>
      </w:r>
      <w:r>
        <w:rPr>
          <w:rFonts w:hint="default" w:ascii="Times New Roman" w:hAnsi="Times New Roman" w:eastAsia="宋体" w:cs="Times New Roman"/>
          <w:color w:val="auto"/>
          <w:sz w:val="24"/>
          <w:szCs w:val="24"/>
          <w:highlight w:val="none"/>
        </w:rPr>
        <w:t>应满足</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企业和主要生产装置的原材料计量的要求。</w:t>
      </w:r>
    </w:p>
    <w:p w14:paraId="3992D3F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4.3.3 </w:t>
      </w:r>
      <w:r>
        <w:rPr>
          <w:rFonts w:hint="default" w:ascii="Times New Roman" w:hAnsi="Times New Roman" w:eastAsia="宋体" w:cs="Times New Roman"/>
          <w:color w:val="auto"/>
          <w:sz w:val="24"/>
          <w:szCs w:val="24"/>
          <w:highlight w:val="none"/>
        </w:rPr>
        <w:t>配备率应达到 100%。</w:t>
      </w:r>
    </w:p>
    <w:p w14:paraId="4CAF4E9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 xml:space="preserve">4.3.4 </w:t>
      </w:r>
      <w:r>
        <w:rPr>
          <w:rFonts w:hint="default" w:ascii="Times New Roman" w:hAnsi="Times New Roman" w:eastAsia="宋体" w:cs="Times New Roman"/>
          <w:color w:val="auto"/>
          <w:sz w:val="24"/>
          <w:szCs w:val="24"/>
          <w:highlight w:val="none"/>
        </w:rPr>
        <w:t>原材料计量器具的计量特性应满足表</w:t>
      </w:r>
      <w:r>
        <w:rPr>
          <w:rFonts w:hint="default" w:ascii="Times New Roman" w:hAnsi="Times New Roman"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的要求</w:t>
      </w:r>
      <w:r>
        <w:rPr>
          <w:rFonts w:hint="default" w:ascii="Times New Roman" w:hAnsi="Times New Roman" w:eastAsia="宋体" w:cs="Times New Roman"/>
          <w:color w:val="auto"/>
          <w:sz w:val="24"/>
          <w:szCs w:val="24"/>
          <w:highlight w:val="none"/>
          <w:lang w:eastAsia="zh-CN"/>
        </w:rPr>
        <w:t>。</w:t>
      </w:r>
    </w:p>
    <w:p w14:paraId="2BE7B2B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4.3.5 </w:t>
      </w:r>
      <w:r>
        <w:rPr>
          <w:rFonts w:hint="default" w:ascii="Times New Roman" w:hAnsi="Times New Roman" w:eastAsia="宋体" w:cs="Times New Roman"/>
          <w:color w:val="auto"/>
          <w:sz w:val="24"/>
          <w:szCs w:val="24"/>
          <w:highlight w:val="none"/>
        </w:rPr>
        <w:t>根据需要可配备用于测量原材料成分和其他特性的计量器具</w:t>
      </w:r>
      <w:r>
        <w:rPr>
          <w:rFonts w:hint="default" w:ascii="Times New Roman" w:hAnsi="Times New Roman" w:eastAsia="宋体" w:cs="Times New Roman"/>
          <w:color w:val="auto"/>
          <w:sz w:val="24"/>
          <w:szCs w:val="24"/>
          <w:highlight w:val="none"/>
          <w:lang w:eastAsia="zh-CN"/>
        </w:rPr>
        <w:t>。</w:t>
      </w:r>
    </w:p>
    <w:p w14:paraId="183B627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 xml:space="preserve">表 </w:t>
      </w:r>
      <w:r>
        <w:rPr>
          <w:rFonts w:hint="default" w:ascii="Times New Roman" w:hAnsi="Times New Roman"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 xml:space="preserve"> 原材料计量器具的计量特性要求</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1762"/>
        <w:gridCol w:w="2663"/>
        <w:gridCol w:w="2367"/>
      </w:tblGrid>
      <w:tr w14:paraId="709B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730" w:type="dxa"/>
            <w:vAlign w:val="center"/>
          </w:tcPr>
          <w:p w14:paraId="456355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计量器具类别</w:t>
            </w:r>
          </w:p>
        </w:tc>
        <w:tc>
          <w:tcPr>
            <w:tcW w:w="4425" w:type="dxa"/>
            <w:gridSpan w:val="2"/>
            <w:vAlign w:val="center"/>
          </w:tcPr>
          <w:p w14:paraId="7D181A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计量目的</w:t>
            </w:r>
          </w:p>
        </w:tc>
        <w:tc>
          <w:tcPr>
            <w:tcW w:w="2367" w:type="dxa"/>
            <w:vAlign w:val="center"/>
          </w:tcPr>
          <w:p w14:paraId="374496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准确度等级要求</w:t>
            </w:r>
          </w:p>
        </w:tc>
      </w:tr>
      <w:tr w14:paraId="55319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730" w:type="dxa"/>
            <w:vMerge w:val="restart"/>
            <w:vAlign w:val="center"/>
          </w:tcPr>
          <w:p w14:paraId="77DBD4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衡器</w:t>
            </w:r>
          </w:p>
        </w:tc>
        <w:tc>
          <w:tcPr>
            <w:tcW w:w="4425" w:type="dxa"/>
            <w:gridSpan w:val="2"/>
            <w:vAlign w:val="center"/>
          </w:tcPr>
          <w:p w14:paraId="2262BA0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固态原材料和以称重方式计量的液气态原材料的静态计量</w:t>
            </w:r>
          </w:p>
        </w:tc>
        <w:tc>
          <w:tcPr>
            <w:tcW w:w="2367" w:type="dxa"/>
            <w:vAlign w:val="center"/>
          </w:tcPr>
          <w:p w14:paraId="3E3F37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val="en-US" w:eastAsia="zh-CN"/>
              </w:rPr>
              <w:t>0.1</w:t>
            </w:r>
            <w:r>
              <w:rPr>
                <w:rFonts w:hint="default" w:ascii="Times New Roman" w:hAnsi="Times New Roman" w:eastAsia="宋体" w:cs="Times New Roman"/>
                <w:color w:val="auto"/>
                <w:sz w:val="24"/>
                <w:szCs w:val="24"/>
                <w:highlight w:val="none"/>
                <w:vertAlign w:val="baseline"/>
              </w:rPr>
              <w:t>级</w:t>
            </w:r>
          </w:p>
        </w:tc>
      </w:tr>
      <w:tr w14:paraId="2FBB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1730" w:type="dxa"/>
            <w:vMerge w:val="continue"/>
            <w:vAlign w:val="center"/>
          </w:tcPr>
          <w:p w14:paraId="49BD61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4425" w:type="dxa"/>
            <w:gridSpan w:val="2"/>
            <w:vAlign w:val="center"/>
          </w:tcPr>
          <w:p w14:paraId="7B8421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固态原材料和以称重方式计量的液气态原材料的动态计量</w:t>
            </w:r>
          </w:p>
        </w:tc>
        <w:tc>
          <w:tcPr>
            <w:tcW w:w="2367" w:type="dxa"/>
            <w:vAlign w:val="center"/>
          </w:tcPr>
          <w:p w14:paraId="24841C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val="en-US" w:eastAsia="zh-CN"/>
              </w:rPr>
              <w:t>0.5</w:t>
            </w:r>
            <w:r>
              <w:rPr>
                <w:rFonts w:hint="default" w:ascii="Times New Roman" w:hAnsi="Times New Roman" w:eastAsia="宋体" w:cs="Times New Roman"/>
                <w:color w:val="auto"/>
                <w:sz w:val="24"/>
                <w:szCs w:val="24"/>
                <w:highlight w:val="none"/>
                <w:vertAlign w:val="baseline"/>
              </w:rPr>
              <w:t>级</w:t>
            </w:r>
          </w:p>
        </w:tc>
      </w:tr>
      <w:tr w14:paraId="54786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1730" w:type="dxa"/>
            <w:vAlign w:val="center"/>
          </w:tcPr>
          <w:p w14:paraId="11CCD0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eastAsia" w:cs="Times New Roman"/>
                <w:color w:val="auto"/>
                <w:sz w:val="24"/>
                <w:szCs w:val="24"/>
                <w:highlight w:val="none"/>
                <w:vertAlign w:val="baseline"/>
                <w:lang w:val="en-US" w:eastAsia="zh-CN"/>
              </w:rPr>
              <w:t>液体</w:t>
            </w:r>
            <w:r>
              <w:rPr>
                <w:rFonts w:hint="default" w:ascii="Times New Roman" w:hAnsi="Times New Roman" w:eastAsia="宋体" w:cs="Times New Roman"/>
                <w:color w:val="auto"/>
                <w:sz w:val="24"/>
                <w:szCs w:val="24"/>
                <w:highlight w:val="none"/>
                <w:vertAlign w:val="baseline"/>
              </w:rPr>
              <w:t>流量表</w:t>
            </w:r>
          </w:p>
          <w:p w14:paraId="6744ED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rPr>
              <w:t>装置</w:t>
            </w:r>
            <w:r>
              <w:rPr>
                <w:rFonts w:hint="default" w:ascii="Times New Roman" w:hAnsi="Times New Roman" w:eastAsia="宋体" w:cs="Times New Roman"/>
                <w:color w:val="auto"/>
                <w:sz w:val="24"/>
                <w:szCs w:val="24"/>
                <w:highlight w:val="none"/>
                <w:vertAlign w:val="baseline"/>
                <w:lang w:eastAsia="zh-CN"/>
              </w:rPr>
              <w:t>）</w:t>
            </w:r>
          </w:p>
        </w:tc>
        <w:tc>
          <w:tcPr>
            <w:tcW w:w="4425" w:type="dxa"/>
            <w:gridSpan w:val="2"/>
            <w:vAlign w:val="center"/>
          </w:tcPr>
          <w:p w14:paraId="34F6739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液态原材料的计量</w:t>
            </w:r>
          </w:p>
        </w:tc>
        <w:tc>
          <w:tcPr>
            <w:tcW w:w="2367" w:type="dxa"/>
            <w:vAlign w:val="center"/>
          </w:tcPr>
          <w:p w14:paraId="22B5DAB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原油、成品油0.5级</w:t>
            </w:r>
          </w:p>
          <w:p w14:paraId="76B0A6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rPr>
              <w:t>重油、渣油1.0级</w:t>
            </w:r>
          </w:p>
        </w:tc>
      </w:tr>
      <w:tr w14:paraId="7322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3F37CA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气体流量表</w:t>
            </w:r>
          </w:p>
          <w:p w14:paraId="2B9418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rPr>
              <w:t>装置</w:t>
            </w:r>
            <w:r>
              <w:rPr>
                <w:rFonts w:hint="default" w:ascii="Times New Roman" w:hAnsi="Times New Roman" w:eastAsia="宋体" w:cs="Times New Roman"/>
                <w:color w:val="auto"/>
                <w:sz w:val="24"/>
                <w:szCs w:val="24"/>
                <w:highlight w:val="none"/>
                <w:vertAlign w:val="baseline"/>
                <w:lang w:eastAsia="zh-CN"/>
              </w:rPr>
              <w:t>）</w:t>
            </w:r>
          </w:p>
        </w:tc>
        <w:tc>
          <w:tcPr>
            <w:tcW w:w="4425" w:type="dxa"/>
            <w:gridSpan w:val="2"/>
            <w:vAlign w:val="center"/>
          </w:tcPr>
          <w:p w14:paraId="6281A5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气态原材料的计量</w:t>
            </w:r>
          </w:p>
        </w:tc>
        <w:tc>
          <w:tcPr>
            <w:tcW w:w="2367" w:type="dxa"/>
            <w:vAlign w:val="center"/>
          </w:tcPr>
          <w:p w14:paraId="40FEBF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煤气、天然气2.0级</w:t>
            </w:r>
          </w:p>
          <w:p w14:paraId="4C9B01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蒸汽2.5级</w:t>
            </w:r>
          </w:p>
        </w:tc>
      </w:tr>
      <w:tr w14:paraId="194CA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30" w:type="dxa"/>
            <w:vMerge w:val="restart"/>
            <w:vAlign w:val="center"/>
          </w:tcPr>
          <w:p w14:paraId="417C9C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水流量表</w:t>
            </w:r>
          </w:p>
          <w:p w14:paraId="3D2A02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rPr>
              <w:t>装置</w:t>
            </w:r>
            <w:r>
              <w:rPr>
                <w:rFonts w:hint="default" w:ascii="Times New Roman" w:hAnsi="Times New Roman" w:eastAsia="宋体" w:cs="Times New Roman"/>
                <w:color w:val="auto"/>
                <w:sz w:val="24"/>
                <w:szCs w:val="24"/>
                <w:highlight w:val="none"/>
                <w:vertAlign w:val="baseline"/>
                <w:lang w:eastAsia="zh-CN"/>
              </w:rPr>
              <w:t>）</w:t>
            </w:r>
          </w:p>
        </w:tc>
        <w:tc>
          <w:tcPr>
            <w:tcW w:w="1762" w:type="dxa"/>
            <w:vMerge w:val="restart"/>
            <w:vAlign w:val="center"/>
          </w:tcPr>
          <w:p w14:paraId="738F4E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水量计量</w:t>
            </w:r>
          </w:p>
        </w:tc>
        <w:tc>
          <w:tcPr>
            <w:tcW w:w="2663" w:type="dxa"/>
            <w:vAlign w:val="center"/>
          </w:tcPr>
          <w:p w14:paraId="078778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管径不大于250mm</w:t>
            </w:r>
          </w:p>
        </w:tc>
        <w:tc>
          <w:tcPr>
            <w:tcW w:w="2367" w:type="dxa"/>
            <w:vAlign w:val="center"/>
          </w:tcPr>
          <w:p w14:paraId="30EF09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rPr>
              <w:t>2.5级</w:t>
            </w:r>
          </w:p>
        </w:tc>
      </w:tr>
      <w:tr w14:paraId="75B8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30" w:type="dxa"/>
            <w:vMerge w:val="continue"/>
            <w:vAlign w:val="center"/>
          </w:tcPr>
          <w:p w14:paraId="277965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1762" w:type="dxa"/>
            <w:vMerge w:val="continue"/>
            <w:vAlign w:val="center"/>
          </w:tcPr>
          <w:p w14:paraId="3A1967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2663" w:type="dxa"/>
            <w:vAlign w:val="center"/>
          </w:tcPr>
          <w:p w14:paraId="37DC70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管径大于 250mm</w:t>
            </w:r>
          </w:p>
        </w:tc>
        <w:tc>
          <w:tcPr>
            <w:tcW w:w="2367" w:type="dxa"/>
            <w:vAlign w:val="center"/>
          </w:tcPr>
          <w:p w14:paraId="0392B5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rPr>
              <w:t>1.5级</w:t>
            </w:r>
          </w:p>
        </w:tc>
      </w:tr>
      <w:tr w14:paraId="2C19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730" w:type="dxa"/>
            <w:vMerge w:val="restart"/>
            <w:vAlign w:val="center"/>
          </w:tcPr>
          <w:p w14:paraId="41A8C7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温度仪表</w:t>
            </w:r>
          </w:p>
        </w:tc>
        <w:tc>
          <w:tcPr>
            <w:tcW w:w="4425" w:type="dxa"/>
            <w:gridSpan w:val="2"/>
            <w:vAlign w:val="center"/>
          </w:tcPr>
          <w:p w14:paraId="7349CF9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用于液态、气态原材料的温度计量</w:t>
            </w:r>
          </w:p>
        </w:tc>
        <w:tc>
          <w:tcPr>
            <w:tcW w:w="2367" w:type="dxa"/>
            <w:vAlign w:val="center"/>
          </w:tcPr>
          <w:p w14:paraId="2FC6A8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lang w:val="en-US" w:eastAsia="zh-CN"/>
              </w:rPr>
              <w:t>2.0</w:t>
            </w:r>
            <w:r>
              <w:rPr>
                <w:rFonts w:hint="default" w:ascii="Times New Roman" w:hAnsi="Times New Roman" w:eastAsia="宋体" w:cs="Times New Roman"/>
                <w:color w:val="auto"/>
                <w:sz w:val="24"/>
                <w:szCs w:val="24"/>
                <w:highlight w:val="none"/>
              </w:rPr>
              <w:t>级</w:t>
            </w:r>
          </w:p>
        </w:tc>
      </w:tr>
      <w:tr w14:paraId="08B4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730" w:type="dxa"/>
            <w:vMerge w:val="continue"/>
            <w:vAlign w:val="center"/>
          </w:tcPr>
          <w:p w14:paraId="109D009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4425" w:type="dxa"/>
            <w:gridSpan w:val="2"/>
            <w:vAlign w:val="center"/>
          </w:tcPr>
          <w:p w14:paraId="3E1EBE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与气体质量计算相关的温度计量</w:t>
            </w:r>
          </w:p>
        </w:tc>
        <w:tc>
          <w:tcPr>
            <w:tcW w:w="2367" w:type="dxa"/>
            <w:vAlign w:val="center"/>
          </w:tcPr>
          <w:p w14:paraId="69C467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0</w:t>
            </w:r>
            <w:r>
              <w:rPr>
                <w:rFonts w:hint="default" w:ascii="Times New Roman" w:hAnsi="Times New Roman" w:eastAsia="宋体" w:cs="Times New Roman"/>
                <w:color w:val="auto"/>
                <w:sz w:val="24"/>
                <w:szCs w:val="24"/>
                <w:highlight w:val="none"/>
              </w:rPr>
              <w:t>级</w:t>
            </w:r>
          </w:p>
        </w:tc>
      </w:tr>
      <w:tr w14:paraId="5684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730" w:type="dxa"/>
            <w:vMerge w:val="restart"/>
            <w:vAlign w:val="center"/>
          </w:tcPr>
          <w:p w14:paraId="057AE0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压力仪表</w:t>
            </w:r>
          </w:p>
        </w:tc>
        <w:tc>
          <w:tcPr>
            <w:tcW w:w="4425" w:type="dxa"/>
            <w:gridSpan w:val="2"/>
            <w:vAlign w:val="center"/>
          </w:tcPr>
          <w:p w14:paraId="64AD45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用于液态、气态原材料的压力计量</w:t>
            </w:r>
          </w:p>
        </w:tc>
        <w:tc>
          <w:tcPr>
            <w:tcW w:w="2367" w:type="dxa"/>
            <w:vAlign w:val="center"/>
          </w:tcPr>
          <w:p w14:paraId="673194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lang w:val="en-US" w:eastAsia="zh-CN"/>
              </w:rPr>
              <w:t>2.</w:t>
            </w:r>
            <w:r>
              <w:rPr>
                <w:rFonts w:hint="default" w:ascii="Times New Roman" w:hAnsi="Times New Roman" w:cs="Times New Roman"/>
                <w:color w:val="auto"/>
                <w:sz w:val="24"/>
                <w:szCs w:val="24"/>
                <w:highlight w:val="none"/>
                <w:lang w:val="en-US" w:eastAsia="zh-CN"/>
              </w:rPr>
              <w:t>0</w:t>
            </w:r>
            <w:r>
              <w:rPr>
                <w:rFonts w:hint="default" w:ascii="Times New Roman" w:hAnsi="Times New Roman" w:eastAsia="宋体" w:cs="Times New Roman"/>
                <w:color w:val="auto"/>
                <w:sz w:val="24"/>
                <w:szCs w:val="24"/>
                <w:highlight w:val="none"/>
              </w:rPr>
              <w:t>级</w:t>
            </w:r>
          </w:p>
        </w:tc>
      </w:tr>
      <w:tr w14:paraId="4E07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730" w:type="dxa"/>
            <w:vMerge w:val="continue"/>
            <w:vAlign w:val="center"/>
          </w:tcPr>
          <w:p w14:paraId="1FB57C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4425" w:type="dxa"/>
            <w:gridSpan w:val="2"/>
            <w:vAlign w:val="center"/>
          </w:tcPr>
          <w:p w14:paraId="3FAC4E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与气体</w:t>
            </w:r>
            <w:r>
              <w:rPr>
                <w:rFonts w:hint="default" w:ascii="Times New Roman" w:hAnsi="Times New Roman" w:cs="Times New Roman"/>
                <w:color w:val="auto"/>
                <w:sz w:val="24"/>
                <w:szCs w:val="24"/>
                <w:highlight w:val="none"/>
                <w:vertAlign w:val="baseline"/>
                <w:lang w:eastAsia="zh-CN"/>
              </w:rPr>
              <w:t>、</w:t>
            </w:r>
            <w:r>
              <w:rPr>
                <w:rFonts w:hint="default" w:ascii="Times New Roman" w:hAnsi="Times New Roman" w:cs="Times New Roman"/>
                <w:color w:val="auto"/>
                <w:sz w:val="24"/>
                <w:szCs w:val="24"/>
                <w:highlight w:val="none"/>
                <w:vertAlign w:val="baseline"/>
                <w:lang w:val="en-US" w:eastAsia="zh-CN"/>
              </w:rPr>
              <w:t>蒸汽</w:t>
            </w:r>
            <w:r>
              <w:rPr>
                <w:rFonts w:hint="default" w:ascii="Times New Roman" w:hAnsi="Times New Roman" w:eastAsia="宋体" w:cs="Times New Roman"/>
                <w:color w:val="auto"/>
                <w:sz w:val="24"/>
                <w:szCs w:val="24"/>
                <w:highlight w:val="none"/>
                <w:vertAlign w:val="baseline"/>
              </w:rPr>
              <w:t>质量计算相关的压力计量</w:t>
            </w:r>
          </w:p>
        </w:tc>
        <w:tc>
          <w:tcPr>
            <w:tcW w:w="2367" w:type="dxa"/>
            <w:vAlign w:val="center"/>
          </w:tcPr>
          <w:p w14:paraId="3CE071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0</w:t>
            </w:r>
            <w:r>
              <w:rPr>
                <w:rFonts w:hint="default" w:ascii="Times New Roman" w:hAnsi="Times New Roman" w:eastAsia="宋体" w:cs="Times New Roman"/>
                <w:color w:val="auto"/>
                <w:sz w:val="24"/>
                <w:szCs w:val="24"/>
                <w:highlight w:val="none"/>
              </w:rPr>
              <w:t>级</w:t>
            </w:r>
          </w:p>
        </w:tc>
      </w:tr>
      <w:tr w14:paraId="42BB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4"/>
            <w:vAlign w:val="center"/>
          </w:tcPr>
          <w:p w14:paraId="55ED073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rPr>
              <w:t>注</w:t>
            </w:r>
            <w:r>
              <w:rPr>
                <w:rFonts w:hint="default" w:ascii="Times New Roman" w:hAnsi="Times New Roman" w:cs="Times New Roman"/>
                <w:color w:val="auto"/>
                <w:sz w:val="24"/>
                <w:szCs w:val="24"/>
                <w:highlight w:val="none"/>
                <w:vertAlign w:val="baseline"/>
                <w:lang w:eastAsia="zh-CN"/>
              </w:rPr>
              <w:t>：</w:t>
            </w:r>
          </w:p>
          <w:p w14:paraId="59FA74F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当计量器具是由传感器(变送器)、二次仪表组成的测量装置或系统时，表中给出的计量特性应是装置或系统的计量特性。装置或系统未明确给出其计量特性时，可用传感器与二次仪表的计量特性按误差合成方法合成。</w:t>
            </w:r>
          </w:p>
        </w:tc>
      </w:tr>
    </w:tbl>
    <w:p w14:paraId="1619C23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eastAsia="宋体" w:cs="Times New Roman"/>
          <w:color w:val="auto"/>
          <w:sz w:val="24"/>
          <w:szCs w:val="24"/>
          <w:highlight w:val="none"/>
        </w:rPr>
      </w:pPr>
    </w:p>
    <w:p w14:paraId="2E53A929">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auto"/>
          <w:sz w:val="24"/>
          <w:szCs w:val="24"/>
          <w:highlight w:val="none"/>
        </w:rPr>
      </w:pPr>
      <w:bookmarkStart w:id="18" w:name="_Toc25437"/>
      <w:bookmarkStart w:id="19" w:name="_Toc18545"/>
      <w:r>
        <w:rPr>
          <w:rFonts w:hint="default" w:ascii="Times New Roman" w:hAnsi="Times New Roman" w:eastAsia="宋体" w:cs="Times New Roman"/>
          <w:color w:val="auto"/>
          <w:sz w:val="24"/>
          <w:szCs w:val="24"/>
          <w:highlight w:val="none"/>
        </w:rPr>
        <w:t>4.4 产量计量器具配备要求</w:t>
      </w:r>
      <w:bookmarkEnd w:id="18"/>
      <w:bookmarkEnd w:id="19"/>
    </w:p>
    <w:p w14:paraId="6AC38D7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4.4.1 </w:t>
      </w:r>
      <w:r>
        <w:rPr>
          <w:rFonts w:hint="default" w:ascii="Times New Roman" w:hAnsi="Times New Roman" w:eastAsia="宋体" w:cs="Times New Roman"/>
          <w:color w:val="auto"/>
          <w:sz w:val="24"/>
          <w:szCs w:val="24"/>
          <w:highlight w:val="none"/>
        </w:rPr>
        <w:t>应明确产</w:t>
      </w:r>
      <w:r>
        <w:rPr>
          <w:rFonts w:hint="default" w:ascii="Times New Roman" w:hAnsi="Times New Roman" w:cs="Times New Roman"/>
          <w:color w:val="auto"/>
          <w:sz w:val="24"/>
          <w:szCs w:val="24"/>
          <w:highlight w:val="none"/>
          <w:lang w:val="en-US" w:eastAsia="zh-CN"/>
        </w:rPr>
        <w:t>成</w:t>
      </w:r>
      <w:r>
        <w:rPr>
          <w:rFonts w:hint="default" w:ascii="Times New Roman" w:hAnsi="Times New Roman" w:eastAsia="宋体" w:cs="Times New Roman"/>
          <w:color w:val="auto"/>
          <w:sz w:val="24"/>
          <w:szCs w:val="24"/>
          <w:highlight w:val="none"/>
        </w:rPr>
        <w:t>品种类和计量方式。</w:t>
      </w:r>
    </w:p>
    <w:p w14:paraId="61B2000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4.4.2</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应满足</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企业和主要生产装置的产成品计量的要求</w:t>
      </w:r>
      <w:r>
        <w:rPr>
          <w:rFonts w:hint="default" w:ascii="Times New Roman" w:hAnsi="Times New Roman" w:eastAsia="宋体" w:cs="Times New Roman"/>
          <w:color w:val="auto"/>
          <w:sz w:val="24"/>
          <w:szCs w:val="24"/>
          <w:highlight w:val="none"/>
          <w:lang w:eastAsia="zh-CN"/>
        </w:rPr>
        <w:t>。</w:t>
      </w:r>
    </w:p>
    <w:p w14:paraId="0371D41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4.4.3 </w:t>
      </w:r>
      <w:r>
        <w:rPr>
          <w:rFonts w:hint="default" w:ascii="Times New Roman" w:hAnsi="Times New Roman" w:eastAsia="宋体" w:cs="Times New Roman"/>
          <w:color w:val="auto"/>
          <w:sz w:val="24"/>
          <w:szCs w:val="24"/>
          <w:highlight w:val="none"/>
        </w:rPr>
        <w:t>配备率应达到 100%。</w:t>
      </w:r>
    </w:p>
    <w:p w14:paraId="2FD1526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4.4.4 产量计量器具的计量特性应满足表</w:t>
      </w:r>
      <w:r>
        <w:rPr>
          <w:rFonts w:hint="default" w:ascii="Times New Roman" w:hAnsi="Times New Roman"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的要求</w:t>
      </w:r>
      <w:r>
        <w:rPr>
          <w:rFonts w:hint="default" w:ascii="Times New Roman" w:hAnsi="Times New Roman" w:eastAsia="宋体" w:cs="Times New Roman"/>
          <w:color w:val="auto"/>
          <w:sz w:val="24"/>
          <w:szCs w:val="24"/>
          <w:highlight w:val="none"/>
          <w:lang w:eastAsia="zh-CN"/>
        </w:rPr>
        <w:t>。</w:t>
      </w:r>
    </w:p>
    <w:p w14:paraId="1A02A28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 xml:space="preserve">表 </w:t>
      </w: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rPr>
        <w:t xml:space="preserve"> 产量计量器具的计量特性</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2"/>
        <w:gridCol w:w="4413"/>
        <w:gridCol w:w="2367"/>
      </w:tblGrid>
      <w:tr w14:paraId="70A7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2" w:type="dxa"/>
            <w:vAlign w:val="center"/>
          </w:tcPr>
          <w:p w14:paraId="771AAE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计量器具类别</w:t>
            </w:r>
          </w:p>
        </w:tc>
        <w:tc>
          <w:tcPr>
            <w:tcW w:w="4413" w:type="dxa"/>
            <w:vAlign w:val="center"/>
          </w:tcPr>
          <w:p w14:paraId="34C027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计量目的</w:t>
            </w:r>
          </w:p>
        </w:tc>
        <w:tc>
          <w:tcPr>
            <w:tcW w:w="2367" w:type="dxa"/>
            <w:vAlign w:val="center"/>
          </w:tcPr>
          <w:p w14:paraId="2AA94D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准确度等级要求</w:t>
            </w:r>
          </w:p>
        </w:tc>
      </w:tr>
      <w:tr w14:paraId="277F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42" w:type="dxa"/>
            <w:vMerge w:val="restart"/>
            <w:vAlign w:val="center"/>
          </w:tcPr>
          <w:p w14:paraId="4747EB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衡器</w:t>
            </w:r>
          </w:p>
        </w:tc>
        <w:tc>
          <w:tcPr>
            <w:tcW w:w="4413" w:type="dxa"/>
            <w:vAlign w:val="center"/>
          </w:tcPr>
          <w:p w14:paraId="2E519B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以称重方式计量的</w:t>
            </w:r>
            <w:r>
              <w:rPr>
                <w:rFonts w:hint="default" w:ascii="Times New Roman" w:hAnsi="Times New Roman" w:eastAsia="宋体" w:cs="Times New Roman"/>
                <w:color w:val="auto"/>
                <w:sz w:val="24"/>
                <w:szCs w:val="24"/>
                <w:highlight w:val="none"/>
                <w:vertAlign w:val="baseline"/>
                <w:lang w:eastAsia="zh-CN"/>
              </w:rPr>
              <w:t>产品产量的</w:t>
            </w:r>
            <w:r>
              <w:rPr>
                <w:rFonts w:hint="default" w:ascii="Times New Roman" w:hAnsi="Times New Roman" w:eastAsia="宋体" w:cs="Times New Roman"/>
                <w:color w:val="auto"/>
                <w:sz w:val="24"/>
                <w:szCs w:val="24"/>
                <w:highlight w:val="none"/>
                <w:vertAlign w:val="baseline"/>
              </w:rPr>
              <w:t>静态计量</w:t>
            </w:r>
          </w:p>
        </w:tc>
        <w:tc>
          <w:tcPr>
            <w:tcW w:w="2367" w:type="dxa"/>
            <w:vAlign w:val="center"/>
          </w:tcPr>
          <w:p w14:paraId="7DBB8D0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val="en-US" w:eastAsia="zh-CN"/>
              </w:rPr>
              <w:t>0.1</w:t>
            </w:r>
            <w:r>
              <w:rPr>
                <w:rFonts w:hint="default" w:ascii="Times New Roman" w:hAnsi="Times New Roman" w:eastAsia="宋体" w:cs="Times New Roman"/>
                <w:color w:val="auto"/>
                <w:sz w:val="24"/>
                <w:szCs w:val="24"/>
                <w:highlight w:val="none"/>
                <w:vertAlign w:val="baseline"/>
              </w:rPr>
              <w:t>级</w:t>
            </w:r>
          </w:p>
        </w:tc>
      </w:tr>
      <w:tr w14:paraId="1568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42" w:type="dxa"/>
            <w:vMerge w:val="continue"/>
            <w:vAlign w:val="center"/>
          </w:tcPr>
          <w:p w14:paraId="7B346E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4413" w:type="dxa"/>
            <w:vAlign w:val="center"/>
          </w:tcPr>
          <w:p w14:paraId="161895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以称重方式计量的</w:t>
            </w:r>
            <w:r>
              <w:rPr>
                <w:rFonts w:hint="default" w:ascii="Times New Roman" w:hAnsi="Times New Roman" w:eastAsia="宋体" w:cs="Times New Roman"/>
                <w:color w:val="auto"/>
                <w:sz w:val="24"/>
                <w:szCs w:val="24"/>
                <w:highlight w:val="none"/>
                <w:vertAlign w:val="baseline"/>
                <w:lang w:eastAsia="zh-CN"/>
              </w:rPr>
              <w:t>产品产量</w:t>
            </w:r>
            <w:r>
              <w:rPr>
                <w:rFonts w:hint="default" w:ascii="Times New Roman" w:hAnsi="Times New Roman" w:eastAsia="宋体" w:cs="Times New Roman"/>
                <w:color w:val="auto"/>
                <w:sz w:val="24"/>
                <w:szCs w:val="24"/>
                <w:highlight w:val="none"/>
                <w:vertAlign w:val="baseline"/>
              </w:rPr>
              <w:t>的动态计量</w:t>
            </w:r>
          </w:p>
        </w:tc>
        <w:tc>
          <w:tcPr>
            <w:tcW w:w="2367" w:type="dxa"/>
            <w:vAlign w:val="center"/>
          </w:tcPr>
          <w:p w14:paraId="08DDEC8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val="en-US" w:eastAsia="zh-CN"/>
              </w:rPr>
              <w:t>0.5</w:t>
            </w:r>
            <w:r>
              <w:rPr>
                <w:rFonts w:hint="default" w:ascii="Times New Roman" w:hAnsi="Times New Roman" w:eastAsia="宋体" w:cs="Times New Roman"/>
                <w:color w:val="auto"/>
                <w:sz w:val="24"/>
                <w:szCs w:val="24"/>
                <w:highlight w:val="none"/>
                <w:vertAlign w:val="baseline"/>
              </w:rPr>
              <w:t>级</w:t>
            </w:r>
          </w:p>
        </w:tc>
      </w:tr>
      <w:tr w14:paraId="050C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2" w:type="dxa"/>
            <w:vAlign w:val="center"/>
          </w:tcPr>
          <w:p w14:paraId="495D12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eastAsia" w:cs="Times New Roman"/>
                <w:color w:val="auto"/>
                <w:sz w:val="24"/>
                <w:szCs w:val="24"/>
                <w:highlight w:val="none"/>
                <w:vertAlign w:val="baseline"/>
                <w:lang w:val="en-US" w:eastAsia="zh-CN"/>
              </w:rPr>
              <w:t>液体</w:t>
            </w:r>
            <w:r>
              <w:rPr>
                <w:rFonts w:hint="default" w:ascii="Times New Roman" w:hAnsi="Times New Roman" w:eastAsia="宋体" w:cs="Times New Roman"/>
                <w:color w:val="auto"/>
                <w:sz w:val="24"/>
                <w:szCs w:val="24"/>
                <w:highlight w:val="none"/>
                <w:vertAlign w:val="baseline"/>
              </w:rPr>
              <w:t>流量表</w:t>
            </w:r>
          </w:p>
          <w:p w14:paraId="580AF5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rPr>
              <w:t>装置</w:t>
            </w:r>
            <w:r>
              <w:rPr>
                <w:rFonts w:hint="default" w:ascii="Times New Roman" w:hAnsi="Times New Roman" w:eastAsia="宋体" w:cs="Times New Roman"/>
                <w:color w:val="auto"/>
                <w:sz w:val="24"/>
                <w:szCs w:val="24"/>
                <w:highlight w:val="none"/>
                <w:vertAlign w:val="baseline"/>
                <w:lang w:eastAsia="zh-CN"/>
              </w:rPr>
              <w:t>）</w:t>
            </w:r>
          </w:p>
        </w:tc>
        <w:tc>
          <w:tcPr>
            <w:tcW w:w="4413" w:type="dxa"/>
            <w:vAlign w:val="center"/>
          </w:tcPr>
          <w:p w14:paraId="218FE3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液态</w:t>
            </w:r>
            <w:r>
              <w:rPr>
                <w:rFonts w:hint="default" w:ascii="Times New Roman" w:hAnsi="Times New Roman" w:eastAsia="宋体" w:cs="Times New Roman"/>
                <w:color w:val="auto"/>
                <w:sz w:val="24"/>
                <w:szCs w:val="24"/>
                <w:highlight w:val="none"/>
                <w:vertAlign w:val="baseline"/>
                <w:lang w:eastAsia="zh-CN"/>
              </w:rPr>
              <w:t>产品产量</w:t>
            </w:r>
            <w:r>
              <w:rPr>
                <w:rFonts w:hint="default" w:ascii="Times New Roman" w:hAnsi="Times New Roman" w:eastAsia="宋体" w:cs="Times New Roman"/>
                <w:color w:val="auto"/>
                <w:sz w:val="24"/>
                <w:szCs w:val="24"/>
                <w:highlight w:val="none"/>
                <w:vertAlign w:val="baseline"/>
              </w:rPr>
              <w:t>的计量</w:t>
            </w:r>
          </w:p>
        </w:tc>
        <w:tc>
          <w:tcPr>
            <w:tcW w:w="2367" w:type="dxa"/>
            <w:vAlign w:val="center"/>
          </w:tcPr>
          <w:p w14:paraId="30548B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成品油0.5级</w:t>
            </w:r>
          </w:p>
          <w:p w14:paraId="3363A8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rPr>
              <w:t>重油、渣油1.0级</w:t>
            </w:r>
          </w:p>
        </w:tc>
      </w:tr>
      <w:tr w14:paraId="3BDDD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2" w:type="dxa"/>
            <w:vAlign w:val="center"/>
          </w:tcPr>
          <w:p w14:paraId="0554DA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气体流量表</w:t>
            </w:r>
          </w:p>
          <w:p w14:paraId="35B76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rPr>
              <w:t>装置</w:t>
            </w:r>
            <w:r>
              <w:rPr>
                <w:rFonts w:hint="default" w:ascii="Times New Roman" w:hAnsi="Times New Roman" w:eastAsia="宋体" w:cs="Times New Roman"/>
                <w:color w:val="auto"/>
                <w:sz w:val="24"/>
                <w:szCs w:val="24"/>
                <w:highlight w:val="none"/>
                <w:vertAlign w:val="baseline"/>
                <w:lang w:eastAsia="zh-CN"/>
              </w:rPr>
              <w:t>）</w:t>
            </w:r>
          </w:p>
        </w:tc>
        <w:tc>
          <w:tcPr>
            <w:tcW w:w="4413" w:type="dxa"/>
            <w:vAlign w:val="center"/>
          </w:tcPr>
          <w:p w14:paraId="08677B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气态</w:t>
            </w:r>
            <w:r>
              <w:rPr>
                <w:rFonts w:hint="default" w:ascii="Times New Roman" w:hAnsi="Times New Roman" w:eastAsia="宋体" w:cs="Times New Roman"/>
                <w:color w:val="auto"/>
                <w:sz w:val="24"/>
                <w:szCs w:val="24"/>
                <w:highlight w:val="none"/>
                <w:vertAlign w:val="baseline"/>
                <w:lang w:eastAsia="zh-CN"/>
              </w:rPr>
              <w:t>产品产量</w:t>
            </w:r>
            <w:r>
              <w:rPr>
                <w:rFonts w:hint="default" w:ascii="Times New Roman" w:hAnsi="Times New Roman" w:eastAsia="宋体" w:cs="Times New Roman"/>
                <w:color w:val="auto"/>
                <w:sz w:val="24"/>
                <w:szCs w:val="24"/>
                <w:highlight w:val="none"/>
                <w:vertAlign w:val="baseline"/>
              </w:rPr>
              <w:t>的计量</w:t>
            </w:r>
          </w:p>
        </w:tc>
        <w:tc>
          <w:tcPr>
            <w:tcW w:w="2367" w:type="dxa"/>
            <w:vAlign w:val="center"/>
          </w:tcPr>
          <w:p w14:paraId="47F2877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2.5级</w:t>
            </w:r>
          </w:p>
        </w:tc>
      </w:tr>
      <w:tr w14:paraId="7745E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742" w:type="dxa"/>
            <w:vMerge w:val="restart"/>
            <w:vAlign w:val="center"/>
          </w:tcPr>
          <w:p w14:paraId="46C518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温度仪表</w:t>
            </w:r>
          </w:p>
        </w:tc>
        <w:tc>
          <w:tcPr>
            <w:tcW w:w="4413" w:type="dxa"/>
            <w:vAlign w:val="center"/>
          </w:tcPr>
          <w:p w14:paraId="75F59C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用于液态、气态</w:t>
            </w:r>
            <w:r>
              <w:rPr>
                <w:rFonts w:hint="default" w:ascii="Times New Roman" w:hAnsi="Times New Roman" w:eastAsia="宋体" w:cs="Times New Roman"/>
                <w:color w:val="auto"/>
                <w:sz w:val="24"/>
                <w:szCs w:val="24"/>
                <w:highlight w:val="none"/>
                <w:vertAlign w:val="baseline"/>
                <w:lang w:eastAsia="zh-CN"/>
              </w:rPr>
              <w:t>产品产量</w:t>
            </w:r>
            <w:r>
              <w:rPr>
                <w:rFonts w:hint="default" w:ascii="Times New Roman" w:hAnsi="Times New Roman" w:eastAsia="宋体" w:cs="Times New Roman"/>
                <w:color w:val="auto"/>
                <w:sz w:val="24"/>
                <w:szCs w:val="24"/>
                <w:highlight w:val="none"/>
                <w:vertAlign w:val="baseline"/>
              </w:rPr>
              <w:t>的温度计量</w:t>
            </w:r>
          </w:p>
        </w:tc>
        <w:tc>
          <w:tcPr>
            <w:tcW w:w="2367" w:type="dxa"/>
            <w:vAlign w:val="center"/>
          </w:tcPr>
          <w:p w14:paraId="474D263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lang w:val="en-US" w:eastAsia="zh-CN"/>
              </w:rPr>
              <w:t>2.0</w:t>
            </w:r>
            <w:r>
              <w:rPr>
                <w:rFonts w:hint="default" w:ascii="Times New Roman" w:hAnsi="Times New Roman" w:eastAsia="宋体" w:cs="Times New Roman"/>
                <w:color w:val="auto"/>
                <w:sz w:val="24"/>
                <w:szCs w:val="24"/>
                <w:highlight w:val="none"/>
              </w:rPr>
              <w:t>级</w:t>
            </w:r>
          </w:p>
        </w:tc>
      </w:tr>
      <w:tr w14:paraId="60A3F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742" w:type="dxa"/>
            <w:vMerge w:val="continue"/>
            <w:vAlign w:val="center"/>
          </w:tcPr>
          <w:p w14:paraId="3A8272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4413" w:type="dxa"/>
            <w:vAlign w:val="center"/>
          </w:tcPr>
          <w:p w14:paraId="396E4D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与气体质量计算相关的温度计量</w:t>
            </w:r>
          </w:p>
        </w:tc>
        <w:tc>
          <w:tcPr>
            <w:tcW w:w="2367" w:type="dxa"/>
            <w:vAlign w:val="center"/>
          </w:tcPr>
          <w:p w14:paraId="5580EC1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0</w:t>
            </w:r>
            <w:r>
              <w:rPr>
                <w:rFonts w:hint="default" w:ascii="Times New Roman" w:hAnsi="Times New Roman" w:eastAsia="宋体" w:cs="Times New Roman"/>
                <w:color w:val="auto"/>
                <w:sz w:val="24"/>
                <w:szCs w:val="24"/>
                <w:highlight w:val="none"/>
              </w:rPr>
              <w:t>级</w:t>
            </w:r>
          </w:p>
        </w:tc>
      </w:tr>
      <w:tr w14:paraId="6E381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742" w:type="dxa"/>
            <w:vMerge w:val="restart"/>
            <w:vAlign w:val="center"/>
          </w:tcPr>
          <w:p w14:paraId="35D96D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压力仪表</w:t>
            </w:r>
          </w:p>
        </w:tc>
        <w:tc>
          <w:tcPr>
            <w:tcW w:w="4413" w:type="dxa"/>
            <w:vAlign w:val="center"/>
          </w:tcPr>
          <w:p w14:paraId="76D3CA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用于液态、气态</w:t>
            </w:r>
            <w:r>
              <w:rPr>
                <w:rFonts w:hint="default" w:ascii="Times New Roman" w:hAnsi="Times New Roman" w:eastAsia="宋体" w:cs="Times New Roman"/>
                <w:color w:val="auto"/>
                <w:sz w:val="24"/>
                <w:szCs w:val="24"/>
                <w:highlight w:val="none"/>
                <w:vertAlign w:val="baseline"/>
                <w:lang w:eastAsia="zh-CN"/>
              </w:rPr>
              <w:t>产品产量</w:t>
            </w:r>
            <w:r>
              <w:rPr>
                <w:rFonts w:hint="default" w:ascii="Times New Roman" w:hAnsi="Times New Roman" w:eastAsia="宋体" w:cs="Times New Roman"/>
                <w:color w:val="auto"/>
                <w:sz w:val="24"/>
                <w:szCs w:val="24"/>
                <w:highlight w:val="none"/>
                <w:vertAlign w:val="baseline"/>
              </w:rPr>
              <w:t>的压力计量</w:t>
            </w:r>
          </w:p>
        </w:tc>
        <w:tc>
          <w:tcPr>
            <w:tcW w:w="2367" w:type="dxa"/>
            <w:vAlign w:val="center"/>
          </w:tcPr>
          <w:p w14:paraId="5E1F9D7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lang w:val="en-US" w:eastAsia="zh-CN"/>
              </w:rPr>
              <w:t>2.</w:t>
            </w:r>
            <w:r>
              <w:rPr>
                <w:rFonts w:hint="default" w:ascii="Times New Roman" w:hAnsi="Times New Roman" w:cs="Times New Roman"/>
                <w:color w:val="auto"/>
                <w:sz w:val="24"/>
                <w:szCs w:val="24"/>
                <w:highlight w:val="none"/>
                <w:lang w:val="en-US" w:eastAsia="zh-CN"/>
              </w:rPr>
              <w:t>0</w:t>
            </w:r>
            <w:r>
              <w:rPr>
                <w:rFonts w:hint="default" w:ascii="Times New Roman" w:hAnsi="Times New Roman" w:eastAsia="宋体" w:cs="Times New Roman"/>
                <w:color w:val="auto"/>
                <w:sz w:val="24"/>
                <w:szCs w:val="24"/>
                <w:highlight w:val="none"/>
              </w:rPr>
              <w:t>级</w:t>
            </w:r>
          </w:p>
        </w:tc>
      </w:tr>
      <w:tr w14:paraId="5DB2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742" w:type="dxa"/>
            <w:vMerge w:val="continue"/>
            <w:vAlign w:val="center"/>
          </w:tcPr>
          <w:p w14:paraId="1DC2D3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4413" w:type="dxa"/>
            <w:vAlign w:val="center"/>
          </w:tcPr>
          <w:p w14:paraId="6BCD69B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与气体</w:t>
            </w:r>
            <w:r>
              <w:rPr>
                <w:rFonts w:hint="default" w:ascii="Times New Roman" w:hAnsi="Times New Roman" w:cs="Times New Roman"/>
                <w:color w:val="auto"/>
                <w:sz w:val="24"/>
                <w:szCs w:val="24"/>
                <w:highlight w:val="none"/>
                <w:vertAlign w:val="baseline"/>
                <w:lang w:eastAsia="zh-CN"/>
              </w:rPr>
              <w:t>、</w:t>
            </w:r>
            <w:r>
              <w:rPr>
                <w:rFonts w:hint="default" w:ascii="Times New Roman" w:hAnsi="Times New Roman" w:cs="Times New Roman"/>
                <w:color w:val="auto"/>
                <w:sz w:val="24"/>
                <w:szCs w:val="24"/>
                <w:highlight w:val="none"/>
                <w:vertAlign w:val="baseline"/>
                <w:lang w:val="en-US" w:eastAsia="zh-CN"/>
              </w:rPr>
              <w:t>蒸汽</w:t>
            </w:r>
            <w:r>
              <w:rPr>
                <w:rFonts w:hint="default" w:ascii="Times New Roman" w:hAnsi="Times New Roman" w:eastAsia="宋体" w:cs="Times New Roman"/>
                <w:color w:val="auto"/>
                <w:sz w:val="24"/>
                <w:szCs w:val="24"/>
                <w:highlight w:val="none"/>
                <w:vertAlign w:val="baseline"/>
              </w:rPr>
              <w:t>质量计算相关的压力计量</w:t>
            </w:r>
          </w:p>
        </w:tc>
        <w:tc>
          <w:tcPr>
            <w:tcW w:w="2367" w:type="dxa"/>
            <w:vAlign w:val="center"/>
          </w:tcPr>
          <w:p w14:paraId="6381A7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val="en-US" w:eastAsia="zh-CN"/>
              </w:rPr>
              <w:t>0</w:t>
            </w:r>
            <w:r>
              <w:rPr>
                <w:rFonts w:hint="default" w:ascii="Times New Roman" w:hAnsi="Times New Roman" w:eastAsia="宋体" w:cs="Times New Roman"/>
                <w:color w:val="auto"/>
                <w:sz w:val="24"/>
                <w:szCs w:val="24"/>
                <w:highlight w:val="none"/>
              </w:rPr>
              <w:t>级</w:t>
            </w:r>
          </w:p>
        </w:tc>
      </w:tr>
      <w:tr w14:paraId="415B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566D7E9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rPr>
              <w:t>注</w:t>
            </w:r>
            <w:r>
              <w:rPr>
                <w:rFonts w:hint="default" w:ascii="Times New Roman" w:hAnsi="Times New Roman" w:cs="Times New Roman"/>
                <w:color w:val="auto"/>
                <w:sz w:val="24"/>
                <w:szCs w:val="24"/>
                <w:highlight w:val="none"/>
                <w:vertAlign w:val="baseline"/>
                <w:lang w:eastAsia="zh-CN"/>
              </w:rPr>
              <w:t>：</w:t>
            </w:r>
          </w:p>
          <w:p w14:paraId="0AAAC7C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当计量器具是由传感器(变送器)、二次仪表组成的测量装置或系统时，表中给出的计量特性应是装置或系统的计量特性。装置或系统未明确给出其计量特性时，可用传感器与二次仪表的计量特性按误差合成方法合成。</w:t>
            </w:r>
          </w:p>
        </w:tc>
      </w:tr>
    </w:tbl>
    <w:p w14:paraId="61A4681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eastAsia="宋体" w:cs="Times New Roman"/>
          <w:color w:val="auto"/>
          <w:sz w:val="24"/>
          <w:szCs w:val="24"/>
          <w:highlight w:val="none"/>
        </w:rPr>
      </w:pPr>
    </w:p>
    <w:p w14:paraId="6B2D4F5C">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auto"/>
          <w:sz w:val="24"/>
          <w:szCs w:val="24"/>
          <w:highlight w:val="none"/>
        </w:rPr>
      </w:pPr>
      <w:bookmarkStart w:id="20" w:name="_Toc17434"/>
      <w:bookmarkStart w:id="21" w:name="_Toc29164"/>
      <w:r>
        <w:rPr>
          <w:rFonts w:hint="default" w:ascii="Times New Roman" w:hAnsi="Times New Roman" w:eastAsia="宋体" w:cs="Times New Roman"/>
          <w:color w:val="auto"/>
          <w:sz w:val="24"/>
          <w:szCs w:val="24"/>
          <w:highlight w:val="none"/>
        </w:rPr>
        <w:t>4.5 碳排放计量器具配备要求</w:t>
      </w:r>
      <w:bookmarkEnd w:id="20"/>
      <w:bookmarkEnd w:id="21"/>
    </w:p>
    <w:p w14:paraId="3BF2265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4.5.1 应明确碳排放种类和计量方式。</w:t>
      </w:r>
    </w:p>
    <w:p w14:paraId="4160025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4.5.2 </w:t>
      </w:r>
      <w:r>
        <w:rPr>
          <w:rFonts w:hint="default" w:ascii="Times New Roman" w:hAnsi="Times New Roman" w:eastAsia="宋体" w:cs="Times New Roman"/>
          <w:color w:val="auto"/>
          <w:sz w:val="24"/>
          <w:szCs w:val="24"/>
          <w:highlight w:val="none"/>
        </w:rPr>
        <w:t>需监测的</w:t>
      </w:r>
      <w:r>
        <w:rPr>
          <w:rFonts w:hint="default" w:ascii="Times New Roman" w:hAnsi="Times New Roman" w:cs="Times New Roman"/>
          <w:color w:val="auto"/>
          <w:sz w:val="24"/>
          <w:szCs w:val="24"/>
          <w:highlight w:val="none"/>
          <w:lang w:val="en-US" w:eastAsia="zh-CN"/>
        </w:rPr>
        <w:t>碳排放</w:t>
      </w:r>
      <w:r>
        <w:rPr>
          <w:rFonts w:hint="default" w:ascii="Times New Roman" w:hAnsi="Times New Roman" w:eastAsia="宋体" w:cs="Times New Roman"/>
          <w:color w:val="auto"/>
          <w:sz w:val="24"/>
          <w:szCs w:val="24"/>
          <w:highlight w:val="none"/>
        </w:rPr>
        <w:t>范围应满足</w:t>
      </w:r>
      <w:r>
        <w:rPr>
          <w:rFonts w:hint="eastAsia" w:cs="Times New Roman"/>
          <w:color w:val="auto"/>
          <w:sz w:val="24"/>
          <w:szCs w:val="24"/>
          <w:highlight w:val="none"/>
          <w:lang w:val="en-US" w:eastAsia="zh-CN"/>
        </w:rPr>
        <w:t>政府</w:t>
      </w:r>
      <w:r>
        <w:rPr>
          <w:rFonts w:hint="default" w:ascii="Times New Roman" w:hAnsi="Times New Roman" w:eastAsia="宋体" w:cs="Times New Roman"/>
          <w:color w:val="auto"/>
          <w:sz w:val="24"/>
          <w:szCs w:val="24"/>
          <w:highlight w:val="none"/>
        </w:rPr>
        <w:t>主管部门对</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w:t>
      </w:r>
      <w:r>
        <w:rPr>
          <w:rFonts w:hint="default" w:ascii="Times New Roman" w:hAnsi="Times New Roman" w:cs="Times New Roman"/>
          <w:color w:val="auto"/>
          <w:sz w:val="24"/>
          <w:szCs w:val="24"/>
          <w:highlight w:val="none"/>
          <w:lang w:val="en-US" w:eastAsia="zh-CN"/>
        </w:rPr>
        <w:t>碳</w:t>
      </w:r>
      <w:r>
        <w:rPr>
          <w:rFonts w:hint="default" w:ascii="Times New Roman" w:hAnsi="Times New Roman" w:eastAsia="宋体" w:cs="Times New Roman"/>
          <w:color w:val="auto"/>
          <w:sz w:val="24"/>
          <w:szCs w:val="24"/>
          <w:highlight w:val="none"/>
        </w:rPr>
        <w:t>排放的要求。</w:t>
      </w:r>
    </w:p>
    <w:p w14:paraId="3C0244B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4.5.3 配备率应达到100%。</w:t>
      </w:r>
    </w:p>
    <w:p w14:paraId="3797020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4.5.2 碳排放</w:t>
      </w:r>
      <w:r>
        <w:rPr>
          <w:rFonts w:hint="default" w:ascii="Times New Roman" w:hAnsi="Times New Roman" w:eastAsia="宋体" w:cs="Times New Roman"/>
          <w:color w:val="auto"/>
          <w:sz w:val="24"/>
          <w:szCs w:val="24"/>
          <w:highlight w:val="none"/>
        </w:rPr>
        <w:t>计量器具的计量特性应满足</w:t>
      </w:r>
      <w:r>
        <w:rPr>
          <w:rFonts w:hint="default" w:ascii="Times New Roman" w:hAnsi="Times New Roman" w:eastAsia="宋体" w:cs="Times New Roman"/>
          <w:color w:val="auto"/>
          <w:sz w:val="24"/>
          <w:szCs w:val="24"/>
          <w:highlight w:val="none"/>
          <w:lang w:eastAsia="zh-CN"/>
        </w:rPr>
        <w:t>表</w:t>
      </w:r>
      <w:r>
        <w:rPr>
          <w:rFonts w:hint="default" w:ascii="Times New Roman" w:hAnsi="Times New Roman"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的要求</w:t>
      </w:r>
      <w:r>
        <w:rPr>
          <w:rFonts w:hint="default" w:ascii="Times New Roman" w:hAnsi="Times New Roman" w:eastAsia="宋体" w:cs="Times New Roman"/>
          <w:color w:val="auto"/>
          <w:sz w:val="24"/>
          <w:szCs w:val="24"/>
          <w:highlight w:val="none"/>
          <w:lang w:eastAsia="zh-CN"/>
        </w:rPr>
        <w:t>。</w:t>
      </w:r>
    </w:p>
    <w:p w14:paraId="130F94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 xml:space="preserve">表 </w:t>
      </w:r>
      <w:r>
        <w:rPr>
          <w:rFonts w:hint="default"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 xml:space="preserve"> </w:t>
      </w:r>
      <w:r>
        <w:rPr>
          <w:rFonts w:hint="default" w:ascii="Times New Roman" w:hAnsi="Times New Roman" w:eastAsia="宋体" w:cs="Times New Roman"/>
          <w:b/>
          <w:bCs/>
          <w:color w:val="auto"/>
          <w:sz w:val="24"/>
          <w:szCs w:val="24"/>
          <w:highlight w:val="none"/>
          <w:lang w:val="en-US" w:eastAsia="zh-CN"/>
        </w:rPr>
        <w:t>碳</w:t>
      </w:r>
      <w:r>
        <w:rPr>
          <w:rFonts w:hint="default" w:ascii="Times New Roman" w:hAnsi="Times New Roman" w:eastAsia="宋体" w:cs="Times New Roman"/>
          <w:b/>
          <w:bCs/>
          <w:color w:val="auto"/>
          <w:sz w:val="24"/>
          <w:szCs w:val="24"/>
          <w:highlight w:val="none"/>
          <w:lang w:eastAsia="zh-CN"/>
        </w:rPr>
        <w:t>排放</w:t>
      </w:r>
      <w:r>
        <w:rPr>
          <w:rFonts w:hint="default" w:ascii="Times New Roman" w:hAnsi="Times New Roman" w:eastAsia="宋体" w:cs="Times New Roman"/>
          <w:b/>
          <w:bCs/>
          <w:color w:val="auto"/>
          <w:sz w:val="24"/>
          <w:szCs w:val="24"/>
          <w:highlight w:val="none"/>
        </w:rPr>
        <w:t>计量器具的计量特性</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2212"/>
        <w:gridCol w:w="2213"/>
        <w:gridCol w:w="2367"/>
      </w:tblGrid>
      <w:tr w14:paraId="3C9A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30" w:type="dxa"/>
            <w:vAlign w:val="center"/>
          </w:tcPr>
          <w:p w14:paraId="10C179D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rPr>
              <w:t>计量</w:t>
            </w:r>
            <w:r>
              <w:rPr>
                <w:rFonts w:hint="default" w:ascii="Times New Roman" w:hAnsi="Times New Roman" w:cs="Times New Roman"/>
                <w:color w:val="auto"/>
                <w:sz w:val="24"/>
                <w:szCs w:val="24"/>
                <w:highlight w:val="none"/>
                <w:vertAlign w:val="baseline"/>
                <w:lang w:val="en-US" w:eastAsia="zh-CN"/>
              </w:rPr>
              <w:t>目的</w:t>
            </w:r>
          </w:p>
        </w:tc>
        <w:tc>
          <w:tcPr>
            <w:tcW w:w="4425" w:type="dxa"/>
            <w:gridSpan w:val="2"/>
            <w:vAlign w:val="center"/>
          </w:tcPr>
          <w:p w14:paraId="5F3ACD2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计量器具类别</w:t>
            </w:r>
          </w:p>
        </w:tc>
        <w:tc>
          <w:tcPr>
            <w:tcW w:w="2367" w:type="dxa"/>
            <w:vAlign w:val="center"/>
          </w:tcPr>
          <w:p w14:paraId="639A5C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rPr>
              <w:t>准确度等级</w:t>
            </w:r>
            <w:r>
              <w:rPr>
                <w:rFonts w:hint="default" w:ascii="Times New Roman" w:hAnsi="Times New Roman" w:cs="Times New Roman"/>
                <w:color w:val="auto"/>
                <w:sz w:val="24"/>
                <w:szCs w:val="24"/>
                <w:highlight w:val="none"/>
                <w:vertAlign w:val="baseline"/>
                <w:lang w:val="en-US" w:eastAsia="zh-CN"/>
              </w:rPr>
              <w:t>或最大允许误差</w:t>
            </w:r>
          </w:p>
        </w:tc>
      </w:tr>
      <w:tr w14:paraId="4DF9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30" w:type="dxa"/>
            <w:vMerge w:val="restart"/>
            <w:vAlign w:val="center"/>
          </w:tcPr>
          <w:p w14:paraId="6191C8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活动数据</w:t>
            </w:r>
          </w:p>
        </w:tc>
        <w:tc>
          <w:tcPr>
            <w:tcW w:w="4425" w:type="dxa"/>
            <w:gridSpan w:val="2"/>
            <w:vAlign w:val="center"/>
          </w:tcPr>
          <w:p w14:paraId="3B8D23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lang w:eastAsia="zh-CN"/>
              </w:rPr>
              <w:t>静态</w:t>
            </w:r>
            <w:r>
              <w:rPr>
                <w:rFonts w:hint="default" w:ascii="Times New Roman" w:hAnsi="Times New Roman" w:cs="Times New Roman"/>
                <w:color w:val="auto"/>
                <w:sz w:val="24"/>
                <w:szCs w:val="24"/>
                <w:highlight w:val="none"/>
                <w:vertAlign w:val="baseline"/>
                <w:lang w:val="en-US" w:eastAsia="zh-CN"/>
              </w:rPr>
              <w:t>衡器</w:t>
            </w:r>
          </w:p>
        </w:tc>
        <w:tc>
          <w:tcPr>
            <w:tcW w:w="2367" w:type="dxa"/>
            <w:vAlign w:val="center"/>
          </w:tcPr>
          <w:p w14:paraId="59BD04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0.1</w:t>
            </w:r>
            <w:r>
              <w:rPr>
                <w:rFonts w:hint="default" w:ascii="Times New Roman" w:hAnsi="Times New Roman" w:eastAsia="宋体" w:cs="Times New Roman"/>
                <w:color w:val="auto"/>
                <w:sz w:val="24"/>
                <w:szCs w:val="24"/>
                <w:highlight w:val="none"/>
                <w:vertAlign w:val="baseline"/>
              </w:rPr>
              <w:t>级</w:t>
            </w:r>
          </w:p>
        </w:tc>
      </w:tr>
      <w:tr w14:paraId="4A75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30" w:type="dxa"/>
            <w:vMerge w:val="continue"/>
            <w:vAlign w:val="center"/>
          </w:tcPr>
          <w:p w14:paraId="2C0733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4425" w:type="dxa"/>
            <w:gridSpan w:val="2"/>
            <w:vAlign w:val="center"/>
          </w:tcPr>
          <w:p w14:paraId="569950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eastAsia="zh-CN"/>
              </w:rPr>
              <w:t>动态</w:t>
            </w:r>
            <w:r>
              <w:rPr>
                <w:rFonts w:hint="default" w:ascii="Times New Roman" w:hAnsi="Times New Roman" w:cs="Times New Roman"/>
                <w:color w:val="auto"/>
                <w:sz w:val="24"/>
                <w:szCs w:val="24"/>
                <w:highlight w:val="none"/>
                <w:vertAlign w:val="baseline"/>
                <w:lang w:val="en-US" w:eastAsia="zh-CN"/>
              </w:rPr>
              <w:t>衡器</w:t>
            </w:r>
          </w:p>
        </w:tc>
        <w:tc>
          <w:tcPr>
            <w:tcW w:w="2367" w:type="dxa"/>
            <w:vAlign w:val="center"/>
          </w:tcPr>
          <w:p w14:paraId="3F2962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rPr>
            </w:pPr>
            <w:r>
              <w:rPr>
                <w:rFonts w:hint="default" w:ascii="Times New Roman" w:hAnsi="Times New Roman" w:eastAsia="宋体" w:cs="Times New Roman"/>
                <w:color w:val="auto"/>
                <w:sz w:val="24"/>
                <w:szCs w:val="24"/>
                <w:highlight w:val="none"/>
                <w:vertAlign w:val="baseline"/>
                <w:lang w:val="en-US" w:eastAsia="zh-CN"/>
              </w:rPr>
              <w:t>0.5</w:t>
            </w:r>
            <w:r>
              <w:rPr>
                <w:rFonts w:hint="default" w:ascii="Times New Roman" w:hAnsi="Times New Roman" w:eastAsia="宋体" w:cs="Times New Roman"/>
                <w:color w:val="auto"/>
                <w:sz w:val="24"/>
                <w:szCs w:val="24"/>
                <w:highlight w:val="none"/>
                <w:vertAlign w:val="baseline"/>
              </w:rPr>
              <w:t>级</w:t>
            </w:r>
          </w:p>
        </w:tc>
      </w:tr>
      <w:tr w14:paraId="688A9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vAlign w:val="center"/>
          </w:tcPr>
          <w:p w14:paraId="04E431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p>
        </w:tc>
        <w:tc>
          <w:tcPr>
            <w:tcW w:w="2212" w:type="dxa"/>
            <w:vMerge w:val="restart"/>
            <w:vAlign w:val="center"/>
          </w:tcPr>
          <w:p w14:paraId="5921D4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lang w:eastAsia="zh-CN"/>
              </w:rPr>
              <w:t>进出</w:t>
            </w:r>
            <w:r>
              <w:rPr>
                <w:rFonts w:hint="eastAsia"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lang w:eastAsia="zh-CN"/>
              </w:rPr>
              <w:t>两高</w:t>
            </w:r>
            <w:r>
              <w:rPr>
                <w:rFonts w:hint="eastAsia"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lang w:eastAsia="zh-CN"/>
              </w:rPr>
              <w:t>企业有功交流电能计量</w:t>
            </w:r>
          </w:p>
        </w:tc>
        <w:tc>
          <w:tcPr>
            <w:tcW w:w="2213" w:type="dxa"/>
            <w:vAlign w:val="center"/>
          </w:tcPr>
          <w:p w14:paraId="6A1870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rPr>
              <w:t>Ⅰ</w:t>
            </w:r>
            <w:r>
              <w:rPr>
                <w:rFonts w:hint="default" w:ascii="Times New Roman" w:hAnsi="Times New Roman" w:eastAsia="宋体" w:cs="Times New Roman"/>
                <w:color w:val="auto"/>
                <w:sz w:val="24"/>
                <w:szCs w:val="24"/>
                <w:highlight w:val="none"/>
                <w:vertAlign w:val="baseline"/>
                <w:lang w:eastAsia="zh-CN"/>
              </w:rPr>
              <w:t>类用户</w:t>
            </w:r>
          </w:p>
        </w:tc>
        <w:tc>
          <w:tcPr>
            <w:tcW w:w="2367" w:type="dxa"/>
            <w:vAlign w:val="center"/>
          </w:tcPr>
          <w:p w14:paraId="0914D9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C</w:t>
            </w:r>
            <w:r>
              <w:rPr>
                <w:rFonts w:hint="default" w:ascii="Times New Roman" w:hAnsi="Times New Roman" w:eastAsia="宋体" w:cs="Times New Roman"/>
                <w:color w:val="auto"/>
                <w:sz w:val="24"/>
                <w:szCs w:val="24"/>
                <w:highlight w:val="none"/>
                <w:vertAlign w:val="baseline"/>
              </w:rPr>
              <w:t>级</w:t>
            </w:r>
            <w:r>
              <w:rPr>
                <w:rFonts w:hint="eastAsia" w:cs="Times New Roman"/>
                <w:color w:val="auto"/>
                <w:sz w:val="24"/>
                <w:szCs w:val="24"/>
                <w:highlight w:val="none"/>
                <w:vertAlign w:val="baseline"/>
                <w:lang w:val="en-US" w:eastAsia="zh-CN"/>
              </w:rPr>
              <w:t>(0.5S级)</w:t>
            </w:r>
          </w:p>
        </w:tc>
      </w:tr>
      <w:tr w14:paraId="3F48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vAlign w:val="center"/>
          </w:tcPr>
          <w:p w14:paraId="19A3F9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p>
        </w:tc>
        <w:tc>
          <w:tcPr>
            <w:tcW w:w="2212" w:type="dxa"/>
            <w:vMerge w:val="continue"/>
            <w:vAlign w:val="center"/>
          </w:tcPr>
          <w:p w14:paraId="6548BD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p>
        </w:tc>
        <w:tc>
          <w:tcPr>
            <w:tcW w:w="2213" w:type="dxa"/>
            <w:vAlign w:val="center"/>
          </w:tcPr>
          <w:p w14:paraId="1A607F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Ⅱ</w:t>
            </w:r>
            <w:r>
              <w:rPr>
                <w:rFonts w:hint="default" w:ascii="Times New Roman" w:hAnsi="Times New Roman" w:eastAsia="宋体" w:cs="Times New Roman"/>
                <w:color w:val="auto"/>
                <w:sz w:val="24"/>
                <w:szCs w:val="24"/>
                <w:highlight w:val="none"/>
                <w:vertAlign w:val="baseline"/>
                <w:lang w:eastAsia="zh-CN"/>
              </w:rPr>
              <w:t>类用户</w:t>
            </w:r>
          </w:p>
        </w:tc>
        <w:tc>
          <w:tcPr>
            <w:tcW w:w="2367" w:type="dxa"/>
            <w:vAlign w:val="center"/>
          </w:tcPr>
          <w:p w14:paraId="19E6A9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C</w:t>
            </w:r>
            <w:r>
              <w:rPr>
                <w:rFonts w:hint="default" w:ascii="Times New Roman" w:hAnsi="Times New Roman" w:eastAsia="宋体" w:cs="Times New Roman"/>
                <w:color w:val="auto"/>
                <w:sz w:val="24"/>
                <w:szCs w:val="24"/>
                <w:highlight w:val="none"/>
                <w:vertAlign w:val="baseline"/>
              </w:rPr>
              <w:t>级</w:t>
            </w:r>
            <w:r>
              <w:rPr>
                <w:rFonts w:hint="eastAsia" w:cs="Times New Roman"/>
                <w:color w:val="auto"/>
                <w:sz w:val="24"/>
                <w:szCs w:val="24"/>
                <w:highlight w:val="none"/>
                <w:vertAlign w:val="baseline"/>
                <w:lang w:val="en-US" w:eastAsia="zh-CN"/>
              </w:rPr>
              <w:t>(0.5S级)</w:t>
            </w:r>
          </w:p>
        </w:tc>
      </w:tr>
      <w:tr w14:paraId="1A07C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vAlign w:val="center"/>
          </w:tcPr>
          <w:p w14:paraId="0E0C08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p>
        </w:tc>
        <w:tc>
          <w:tcPr>
            <w:tcW w:w="2212" w:type="dxa"/>
            <w:vMerge w:val="continue"/>
            <w:vAlign w:val="center"/>
          </w:tcPr>
          <w:p w14:paraId="12BB0D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p>
        </w:tc>
        <w:tc>
          <w:tcPr>
            <w:tcW w:w="2213" w:type="dxa"/>
            <w:vAlign w:val="center"/>
          </w:tcPr>
          <w:p w14:paraId="6A4BED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Ⅲ</w:t>
            </w:r>
            <w:r>
              <w:rPr>
                <w:rFonts w:hint="default" w:ascii="Times New Roman" w:hAnsi="Times New Roman" w:eastAsia="宋体" w:cs="Times New Roman"/>
                <w:color w:val="auto"/>
                <w:sz w:val="24"/>
                <w:szCs w:val="24"/>
                <w:highlight w:val="none"/>
                <w:vertAlign w:val="baseline"/>
                <w:lang w:eastAsia="zh-CN"/>
              </w:rPr>
              <w:t>类用户</w:t>
            </w:r>
          </w:p>
        </w:tc>
        <w:tc>
          <w:tcPr>
            <w:tcW w:w="2367" w:type="dxa"/>
            <w:vAlign w:val="center"/>
          </w:tcPr>
          <w:p w14:paraId="4C8DCB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B</w:t>
            </w:r>
            <w:r>
              <w:rPr>
                <w:rFonts w:hint="default" w:ascii="Times New Roman" w:hAnsi="Times New Roman" w:eastAsia="宋体" w:cs="Times New Roman"/>
                <w:color w:val="auto"/>
                <w:sz w:val="24"/>
                <w:szCs w:val="24"/>
                <w:highlight w:val="none"/>
                <w:vertAlign w:val="baseline"/>
              </w:rPr>
              <w:t>级</w:t>
            </w:r>
            <w:r>
              <w:rPr>
                <w:rFonts w:hint="eastAsia" w:cs="Times New Roman"/>
                <w:color w:val="auto"/>
                <w:sz w:val="24"/>
                <w:szCs w:val="24"/>
                <w:highlight w:val="none"/>
                <w:vertAlign w:val="baseline"/>
                <w:lang w:val="en-US" w:eastAsia="zh-CN"/>
              </w:rPr>
              <w:t>(1.0级)</w:t>
            </w:r>
          </w:p>
        </w:tc>
      </w:tr>
      <w:tr w14:paraId="4FCB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vAlign w:val="center"/>
          </w:tcPr>
          <w:p w14:paraId="0159F8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p>
        </w:tc>
        <w:tc>
          <w:tcPr>
            <w:tcW w:w="2212" w:type="dxa"/>
            <w:vMerge w:val="continue"/>
            <w:vAlign w:val="center"/>
          </w:tcPr>
          <w:p w14:paraId="627ACD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p>
        </w:tc>
        <w:tc>
          <w:tcPr>
            <w:tcW w:w="2213" w:type="dxa"/>
            <w:vAlign w:val="center"/>
          </w:tcPr>
          <w:p w14:paraId="51AA3B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Ⅳ</w:t>
            </w:r>
            <w:r>
              <w:rPr>
                <w:rFonts w:hint="default" w:ascii="Times New Roman" w:hAnsi="Times New Roman" w:eastAsia="宋体" w:cs="Times New Roman"/>
                <w:color w:val="auto"/>
                <w:sz w:val="24"/>
                <w:szCs w:val="24"/>
                <w:highlight w:val="none"/>
                <w:vertAlign w:val="baseline"/>
                <w:lang w:eastAsia="zh-CN"/>
              </w:rPr>
              <w:t>类用户</w:t>
            </w:r>
          </w:p>
        </w:tc>
        <w:tc>
          <w:tcPr>
            <w:tcW w:w="2367" w:type="dxa"/>
            <w:vAlign w:val="center"/>
          </w:tcPr>
          <w:p w14:paraId="39DB93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A</w:t>
            </w:r>
            <w:r>
              <w:rPr>
                <w:rFonts w:hint="default" w:ascii="Times New Roman" w:hAnsi="Times New Roman" w:eastAsia="宋体" w:cs="Times New Roman"/>
                <w:color w:val="auto"/>
                <w:sz w:val="24"/>
                <w:szCs w:val="24"/>
                <w:highlight w:val="none"/>
                <w:vertAlign w:val="baseline"/>
              </w:rPr>
              <w:t>级</w:t>
            </w:r>
            <w:r>
              <w:rPr>
                <w:rFonts w:hint="eastAsia" w:cs="Times New Roman"/>
                <w:color w:val="auto"/>
                <w:sz w:val="24"/>
                <w:szCs w:val="24"/>
                <w:highlight w:val="none"/>
                <w:vertAlign w:val="baseline"/>
                <w:lang w:val="en-US" w:eastAsia="zh-CN"/>
              </w:rPr>
              <w:t>(2.0级)</w:t>
            </w:r>
          </w:p>
        </w:tc>
      </w:tr>
      <w:tr w14:paraId="2A38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vAlign w:val="center"/>
          </w:tcPr>
          <w:p w14:paraId="4CBF89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p>
        </w:tc>
        <w:tc>
          <w:tcPr>
            <w:tcW w:w="2212" w:type="dxa"/>
            <w:vMerge w:val="continue"/>
            <w:vAlign w:val="center"/>
          </w:tcPr>
          <w:p w14:paraId="424586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p>
        </w:tc>
        <w:tc>
          <w:tcPr>
            <w:tcW w:w="2213" w:type="dxa"/>
            <w:vAlign w:val="center"/>
          </w:tcPr>
          <w:p w14:paraId="035F18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Ⅴ</w:t>
            </w:r>
            <w:r>
              <w:rPr>
                <w:rFonts w:hint="default" w:ascii="Times New Roman" w:hAnsi="Times New Roman" w:eastAsia="宋体" w:cs="Times New Roman"/>
                <w:color w:val="auto"/>
                <w:sz w:val="24"/>
                <w:szCs w:val="24"/>
                <w:highlight w:val="none"/>
                <w:vertAlign w:val="baseline"/>
                <w:lang w:eastAsia="zh-CN"/>
              </w:rPr>
              <w:t>类用户</w:t>
            </w:r>
          </w:p>
        </w:tc>
        <w:tc>
          <w:tcPr>
            <w:tcW w:w="2367" w:type="dxa"/>
            <w:vAlign w:val="center"/>
          </w:tcPr>
          <w:p w14:paraId="28A826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A</w:t>
            </w:r>
            <w:r>
              <w:rPr>
                <w:rFonts w:hint="default" w:ascii="Times New Roman" w:hAnsi="Times New Roman" w:eastAsia="宋体" w:cs="Times New Roman"/>
                <w:color w:val="auto"/>
                <w:sz w:val="24"/>
                <w:szCs w:val="24"/>
                <w:highlight w:val="none"/>
                <w:vertAlign w:val="baseline"/>
              </w:rPr>
              <w:t>级</w:t>
            </w:r>
            <w:r>
              <w:rPr>
                <w:rFonts w:hint="eastAsia" w:cs="Times New Roman"/>
                <w:color w:val="auto"/>
                <w:sz w:val="24"/>
                <w:szCs w:val="24"/>
                <w:highlight w:val="none"/>
                <w:vertAlign w:val="baseline"/>
                <w:lang w:val="en-US" w:eastAsia="zh-CN"/>
              </w:rPr>
              <w:t>(2.0级)</w:t>
            </w:r>
          </w:p>
        </w:tc>
      </w:tr>
      <w:tr w14:paraId="4053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vAlign w:val="center"/>
          </w:tcPr>
          <w:p w14:paraId="486163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p>
        </w:tc>
        <w:tc>
          <w:tcPr>
            <w:tcW w:w="4425" w:type="dxa"/>
            <w:gridSpan w:val="2"/>
            <w:vAlign w:val="center"/>
          </w:tcPr>
          <w:p w14:paraId="2CF9DF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eastAsia="zh-CN"/>
              </w:rPr>
              <w:t>进出</w:t>
            </w:r>
            <w:r>
              <w:rPr>
                <w:rFonts w:hint="eastAsia"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lang w:eastAsia="zh-CN"/>
              </w:rPr>
              <w:t>两高</w:t>
            </w:r>
            <w:r>
              <w:rPr>
                <w:rFonts w:hint="eastAsia"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lang w:eastAsia="zh-CN"/>
              </w:rPr>
              <w:t>企业的直流电能计量</w:t>
            </w:r>
          </w:p>
        </w:tc>
        <w:tc>
          <w:tcPr>
            <w:tcW w:w="2367" w:type="dxa"/>
            <w:vAlign w:val="center"/>
          </w:tcPr>
          <w:p w14:paraId="2C5809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A</w:t>
            </w:r>
            <w:r>
              <w:rPr>
                <w:rFonts w:hint="default" w:ascii="Times New Roman" w:hAnsi="Times New Roman" w:eastAsia="宋体" w:cs="Times New Roman"/>
                <w:color w:val="auto"/>
                <w:sz w:val="24"/>
                <w:szCs w:val="24"/>
                <w:highlight w:val="none"/>
                <w:vertAlign w:val="baseline"/>
              </w:rPr>
              <w:t>级</w:t>
            </w:r>
            <w:r>
              <w:rPr>
                <w:rFonts w:hint="eastAsia" w:cs="Times New Roman"/>
                <w:color w:val="auto"/>
                <w:sz w:val="24"/>
                <w:szCs w:val="24"/>
                <w:highlight w:val="none"/>
                <w:vertAlign w:val="baseline"/>
                <w:lang w:val="en-US" w:eastAsia="zh-CN"/>
              </w:rPr>
              <w:t>(2.0级)</w:t>
            </w:r>
          </w:p>
        </w:tc>
      </w:tr>
      <w:tr w14:paraId="4F14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730" w:type="dxa"/>
            <w:vMerge w:val="continue"/>
            <w:vAlign w:val="center"/>
          </w:tcPr>
          <w:p w14:paraId="24A9CF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p>
        </w:tc>
        <w:tc>
          <w:tcPr>
            <w:tcW w:w="2212" w:type="dxa"/>
            <w:vMerge w:val="restart"/>
            <w:vAlign w:val="center"/>
          </w:tcPr>
          <w:p w14:paraId="0A7A22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油流量表</w:t>
            </w:r>
          </w:p>
          <w:p w14:paraId="272AB51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rPr>
              <w:t>装置</w:t>
            </w:r>
            <w:r>
              <w:rPr>
                <w:rFonts w:hint="default" w:ascii="Times New Roman" w:hAnsi="Times New Roman" w:eastAsia="宋体" w:cs="Times New Roman"/>
                <w:color w:val="auto"/>
                <w:sz w:val="24"/>
                <w:szCs w:val="24"/>
                <w:highlight w:val="none"/>
                <w:vertAlign w:val="baseline"/>
                <w:lang w:eastAsia="zh-CN"/>
              </w:rPr>
              <w:t>）</w:t>
            </w:r>
          </w:p>
        </w:tc>
        <w:tc>
          <w:tcPr>
            <w:tcW w:w="2213" w:type="dxa"/>
            <w:vAlign w:val="center"/>
          </w:tcPr>
          <w:p w14:paraId="1B763E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cs="Times New Roman"/>
                <w:color w:val="auto"/>
                <w:sz w:val="24"/>
                <w:szCs w:val="24"/>
                <w:highlight w:val="none"/>
                <w:vertAlign w:val="baseline"/>
                <w:lang w:val="en-US" w:eastAsia="zh-CN"/>
              </w:rPr>
              <w:t>轻质</w:t>
            </w:r>
            <w:r>
              <w:rPr>
                <w:rFonts w:hint="default" w:ascii="Times New Roman" w:hAnsi="Times New Roman" w:eastAsia="宋体" w:cs="Times New Roman"/>
                <w:color w:val="auto"/>
                <w:sz w:val="24"/>
                <w:szCs w:val="24"/>
                <w:highlight w:val="none"/>
                <w:vertAlign w:val="baseline"/>
              </w:rPr>
              <w:t>油</w:t>
            </w:r>
          </w:p>
        </w:tc>
        <w:tc>
          <w:tcPr>
            <w:tcW w:w="2367" w:type="dxa"/>
            <w:vAlign w:val="center"/>
          </w:tcPr>
          <w:p w14:paraId="577199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rPr>
              <w:t>0.5级</w:t>
            </w:r>
          </w:p>
        </w:tc>
      </w:tr>
      <w:tr w14:paraId="3D04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730" w:type="dxa"/>
            <w:vMerge w:val="continue"/>
            <w:vAlign w:val="center"/>
          </w:tcPr>
          <w:p w14:paraId="1BC8F5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2212" w:type="dxa"/>
            <w:vMerge w:val="continue"/>
            <w:vAlign w:val="center"/>
          </w:tcPr>
          <w:p w14:paraId="4B04B18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2213" w:type="dxa"/>
            <w:vAlign w:val="center"/>
          </w:tcPr>
          <w:p w14:paraId="7D8967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cs="Times New Roman"/>
                <w:color w:val="auto"/>
                <w:sz w:val="24"/>
                <w:szCs w:val="24"/>
                <w:highlight w:val="none"/>
                <w:vertAlign w:val="baseline"/>
                <w:lang w:val="en-US" w:eastAsia="zh-CN"/>
              </w:rPr>
              <w:t>重质</w:t>
            </w:r>
            <w:r>
              <w:rPr>
                <w:rFonts w:hint="default" w:ascii="Times New Roman" w:hAnsi="Times New Roman" w:eastAsia="宋体" w:cs="Times New Roman"/>
                <w:color w:val="auto"/>
                <w:sz w:val="24"/>
                <w:szCs w:val="24"/>
                <w:highlight w:val="none"/>
                <w:vertAlign w:val="baseline"/>
              </w:rPr>
              <w:t>油</w:t>
            </w:r>
          </w:p>
        </w:tc>
        <w:tc>
          <w:tcPr>
            <w:tcW w:w="2367" w:type="dxa"/>
            <w:vAlign w:val="center"/>
          </w:tcPr>
          <w:p w14:paraId="37D66D8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rPr>
              <w:t>1.0级</w:t>
            </w:r>
          </w:p>
        </w:tc>
      </w:tr>
      <w:tr w14:paraId="6BA0C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730" w:type="dxa"/>
            <w:vMerge w:val="continue"/>
            <w:vAlign w:val="center"/>
          </w:tcPr>
          <w:p w14:paraId="60721C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p>
        </w:tc>
        <w:tc>
          <w:tcPr>
            <w:tcW w:w="2212" w:type="dxa"/>
            <w:vMerge w:val="restart"/>
            <w:vAlign w:val="center"/>
          </w:tcPr>
          <w:p w14:paraId="1FF750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气体流量表</w:t>
            </w:r>
          </w:p>
          <w:p w14:paraId="3B28AF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rPr>
              <w:t>装置</w:t>
            </w:r>
            <w:r>
              <w:rPr>
                <w:rFonts w:hint="default" w:ascii="Times New Roman" w:hAnsi="Times New Roman" w:eastAsia="宋体" w:cs="Times New Roman"/>
                <w:color w:val="auto"/>
                <w:sz w:val="24"/>
                <w:szCs w:val="24"/>
                <w:highlight w:val="none"/>
                <w:vertAlign w:val="baseline"/>
                <w:lang w:eastAsia="zh-CN"/>
              </w:rPr>
              <w:t>）</w:t>
            </w:r>
          </w:p>
        </w:tc>
        <w:tc>
          <w:tcPr>
            <w:tcW w:w="2213" w:type="dxa"/>
            <w:vAlign w:val="center"/>
          </w:tcPr>
          <w:p w14:paraId="66BB922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rPr>
              <w:t>煤气</w:t>
            </w:r>
          </w:p>
        </w:tc>
        <w:tc>
          <w:tcPr>
            <w:tcW w:w="2367" w:type="dxa"/>
            <w:vAlign w:val="center"/>
          </w:tcPr>
          <w:p w14:paraId="651AE67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2.0级</w:t>
            </w:r>
          </w:p>
        </w:tc>
      </w:tr>
      <w:tr w14:paraId="5EC4A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730" w:type="dxa"/>
            <w:vMerge w:val="continue"/>
            <w:vAlign w:val="center"/>
          </w:tcPr>
          <w:p w14:paraId="66C55E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2212" w:type="dxa"/>
            <w:vMerge w:val="continue"/>
            <w:vAlign w:val="center"/>
          </w:tcPr>
          <w:p w14:paraId="6CE470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2213" w:type="dxa"/>
            <w:vAlign w:val="center"/>
          </w:tcPr>
          <w:p w14:paraId="4CB8D2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rPr>
              <w:t>天然气</w:t>
            </w:r>
          </w:p>
        </w:tc>
        <w:tc>
          <w:tcPr>
            <w:tcW w:w="2367" w:type="dxa"/>
            <w:vAlign w:val="center"/>
          </w:tcPr>
          <w:p w14:paraId="12EBBF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rPr>
              <w:t>2.0级</w:t>
            </w:r>
          </w:p>
        </w:tc>
      </w:tr>
      <w:tr w14:paraId="49EB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730" w:type="dxa"/>
            <w:vMerge w:val="continue"/>
            <w:vAlign w:val="center"/>
          </w:tcPr>
          <w:p w14:paraId="220FD16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p>
        </w:tc>
        <w:tc>
          <w:tcPr>
            <w:tcW w:w="2212" w:type="dxa"/>
            <w:vMerge w:val="continue"/>
            <w:vAlign w:val="center"/>
          </w:tcPr>
          <w:p w14:paraId="5D4286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p>
        </w:tc>
        <w:tc>
          <w:tcPr>
            <w:tcW w:w="2213" w:type="dxa"/>
            <w:vAlign w:val="center"/>
          </w:tcPr>
          <w:p w14:paraId="5894FA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rPr>
              <w:t>蒸汽</w:t>
            </w:r>
          </w:p>
        </w:tc>
        <w:tc>
          <w:tcPr>
            <w:tcW w:w="2367" w:type="dxa"/>
            <w:vAlign w:val="center"/>
          </w:tcPr>
          <w:p w14:paraId="6B6276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eastAsia="宋体" w:cs="Times New Roman"/>
                <w:color w:val="auto"/>
                <w:sz w:val="24"/>
                <w:szCs w:val="24"/>
                <w:highlight w:val="none"/>
                <w:vertAlign w:val="baseline"/>
                <w:lang w:eastAsia="zh-CN"/>
              </w:rPr>
              <w:t>2.5级</w:t>
            </w:r>
          </w:p>
        </w:tc>
      </w:tr>
      <w:tr w14:paraId="2D890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30" w:type="dxa"/>
            <w:vMerge w:val="continue"/>
            <w:vAlign w:val="center"/>
          </w:tcPr>
          <w:p w14:paraId="56C70C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p>
        </w:tc>
        <w:tc>
          <w:tcPr>
            <w:tcW w:w="2212" w:type="dxa"/>
            <w:vMerge w:val="restart"/>
            <w:vAlign w:val="center"/>
          </w:tcPr>
          <w:p w14:paraId="711D8B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水流量表</w:t>
            </w:r>
          </w:p>
          <w:p w14:paraId="4CE2D7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rPr>
              <w:t>装置</w:t>
            </w:r>
            <w:r>
              <w:rPr>
                <w:rFonts w:hint="default" w:ascii="Times New Roman" w:hAnsi="Times New Roman" w:eastAsia="宋体" w:cs="Times New Roman"/>
                <w:color w:val="auto"/>
                <w:sz w:val="24"/>
                <w:szCs w:val="24"/>
                <w:highlight w:val="none"/>
                <w:vertAlign w:val="baseline"/>
                <w:lang w:eastAsia="zh-CN"/>
              </w:rPr>
              <w:t>）</w:t>
            </w:r>
          </w:p>
        </w:tc>
        <w:tc>
          <w:tcPr>
            <w:tcW w:w="2213" w:type="dxa"/>
            <w:vAlign w:val="center"/>
          </w:tcPr>
          <w:p w14:paraId="4D4B3C9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管径不大于250mm</w:t>
            </w:r>
          </w:p>
        </w:tc>
        <w:tc>
          <w:tcPr>
            <w:tcW w:w="2367" w:type="dxa"/>
            <w:vAlign w:val="center"/>
          </w:tcPr>
          <w:p w14:paraId="265D60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rPr>
              <w:t>2.5级</w:t>
            </w:r>
          </w:p>
        </w:tc>
      </w:tr>
      <w:tr w14:paraId="1C8A6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30" w:type="dxa"/>
            <w:vMerge w:val="continue"/>
            <w:vAlign w:val="center"/>
          </w:tcPr>
          <w:p w14:paraId="0EDFB4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2212" w:type="dxa"/>
            <w:vMerge w:val="continue"/>
            <w:vAlign w:val="center"/>
          </w:tcPr>
          <w:p w14:paraId="062F1C1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highlight w:val="none"/>
              </w:rPr>
            </w:pPr>
          </w:p>
        </w:tc>
        <w:tc>
          <w:tcPr>
            <w:tcW w:w="2213" w:type="dxa"/>
            <w:vAlign w:val="center"/>
          </w:tcPr>
          <w:p w14:paraId="77E3B9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管径大于 250mm</w:t>
            </w:r>
          </w:p>
        </w:tc>
        <w:tc>
          <w:tcPr>
            <w:tcW w:w="2367" w:type="dxa"/>
            <w:vAlign w:val="center"/>
          </w:tcPr>
          <w:p w14:paraId="2D6271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rPr>
              <w:t>1.5级</w:t>
            </w:r>
          </w:p>
        </w:tc>
      </w:tr>
      <w:tr w14:paraId="0E05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730" w:type="dxa"/>
            <w:vMerge w:val="continue"/>
            <w:vAlign w:val="center"/>
          </w:tcPr>
          <w:p w14:paraId="52829D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p>
        </w:tc>
        <w:tc>
          <w:tcPr>
            <w:tcW w:w="4425" w:type="dxa"/>
            <w:gridSpan w:val="2"/>
            <w:vAlign w:val="center"/>
          </w:tcPr>
          <w:p w14:paraId="149824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温度仪表</w:t>
            </w:r>
          </w:p>
        </w:tc>
        <w:tc>
          <w:tcPr>
            <w:tcW w:w="2367" w:type="dxa"/>
            <w:vAlign w:val="center"/>
          </w:tcPr>
          <w:p w14:paraId="29410ED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lang w:val="en-US" w:eastAsia="zh-CN"/>
              </w:rPr>
              <w:t>2.0</w:t>
            </w:r>
            <w:r>
              <w:rPr>
                <w:rFonts w:hint="default" w:ascii="Times New Roman" w:hAnsi="Times New Roman" w:eastAsia="宋体" w:cs="Times New Roman"/>
                <w:color w:val="auto"/>
                <w:sz w:val="24"/>
                <w:szCs w:val="24"/>
                <w:highlight w:val="none"/>
              </w:rPr>
              <w:t>级</w:t>
            </w:r>
          </w:p>
        </w:tc>
      </w:tr>
      <w:tr w14:paraId="5975D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730" w:type="dxa"/>
            <w:vMerge w:val="continue"/>
            <w:vAlign w:val="center"/>
          </w:tcPr>
          <w:p w14:paraId="548EC5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p>
        </w:tc>
        <w:tc>
          <w:tcPr>
            <w:tcW w:w="4425" w:type="dxa"/>
            <w:gridSpan w:val="2"/>
            <w:vAlign w:val="center"/>
          </w:tcPr>
          <w:p w14:paraId="256F93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vertAlign w:val="baseline"/>
              </w:rPr>
              <w:t>压力仪表</w:t>
            </w:r>
          </w:p>
        </w:tc>
        <w:tc>
          <w:tcPr>
            <w:tcW w:w="2367" w:type="dxa"/>
            <w:vAlign w:val="center"/>
          </w:tcPr>
          <w:p w14:paraId="7F02A0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color w:val="auto"/>
                <w:sz w:val="24"/>
                <w:szCs w:val="24"/>
                <w:highlight w:val="none"/>
                <w:lang w:val="en-US" w:eastAsia="zh-CN"/>
              </w:rPr>
              <w:t>2.0</w:t>
            </w:r>
            <w:r>
              <w:rPr>
                <w:rFonts w:hint="default" w:ascii="Times New Roman" w:hAnsi="Times New Roman" w:eastAsia="宋体" w:cs="Times New Roman"/>
                <w:color w:val="auto"/>
                <w:sz w:val="24"/>
                <w:szCs w:val="24"/>
                <w:highlight w:val="none"/>
              </w:rPr>
              <w:t>级</w:t>
            </w:r>
          </w:p>
        </w:tc>
      </w:tr>
      <w:tr w14:paraId="6017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730" w:type="dxa"/>
            <w:vMerge w:val="continue"/>
            <w:vAlign w:val="center"/>
          </w:tcPr>
          <w:p w14:paraId="3E11C1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rPr>
            </w:pPr>
          </w:p>
        </w:tc>
        <w:tc>
          <w:tcPr>
            <w:tcW w:w="4425" w:type="dxa"/>
            <w:gridSpan w:val="2"/>
            <w:vAlign w:val="center"/>
          </w:tcPr>
          <w:p w14:paraId="1AEF19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氧弹热量计</w:t>
            </w:r>
          </w:p>
        </w:tc>
        <w:tc>
          <w:tcPr>
            <w:tcW w:w="2367" w:type="dxa"/>
            <w:vAlign w:val="center"/>
          </w:tcPr>
          <w:p w14:paraId="59CF64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±90J/g</w:t>
            </w:r>
          </w:p>
        </w:tc>
      </w:tr>
      <w:tr w14:paraId="4F97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4"/>
            <w:vAlign w:val="center"/>
          </w:tcPr>
          <w:p w14:paraId="343AA1C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rPr>
              <w:t>注</w:t>
            </w:r>
            <w:r>
              <w:rPr>
                <w:rFonts w:hint="eastAsia" w:cs="Times New Roman"/>
                <w:color w:val="auto"/>
                <w:sz w:val="24"/>
                <w:szCs w:val="24"/>
                <w:highlight w:val="none"/>
                <w:vertAlign w:val="baseline"/>
                <w:lang w:eastAsia="zh-CN"/>
              </w:rPr>
              <w:t>：</w:t>
            </w:r>
          </w:p>
          <w:p w14:paraId="6A939EB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Times New Roman" w:hAnsi="Times New Roman" w:eastAsia="宋体" w:cs="Times New Roman"/>
                <w:color w:val="auto"/>
                <w:sz w:val="24"/>
                <w:szCs w:val="24"/>
                <w:highlight w:val="none"/>
                <w:vertAlign w:val="baseline"/>
                <w:lang w:eastAsia="zh-CN"/>
              </w:rPr>
            </w:pPr>
            <w:r>
              <w:rPr>
                <w:rFonts w:hint="default" w:ascii="Times New Roman" w:hAnsi="Times New Roman" w:cs="Times New Roman"/>
                <w:color w:val="auto"/>
                <w:sz w:val="24"/>
                <w:szCs w:val="24"/>
                <w:highlight w:val="none"/>
                <w:vertAlign w:val="baseline"/>
                <w:lang w:val="en-US" w:eastAsia="zh-CN"/>
              </w:rPr>
              <w:t xml:space="preserve">1. </w:t>
            </w:r>
            <w:r>
              <w:rPr>
                <w:rFonts w:hint="default" w:ascii="Times New Roman" w:hAnsi="Times New Roman" w:eastAsia="宋体" w:cs="Times New Roman"/>
                <w:color w:val="auto"/>
                <w:sz w:val="24"/>
                <w:szCs w:val="24"/>
                <w:highlight w:val="none"/>
                <w:vertAlign w:val="baseline"/>
              </w:rPr>
              <w:t>当计量器具是由传感器(变送器)、二次仪表组成的测量装置或系统时，表中给出的计量特性应是装置或系统的计量特性。</w:t>
            </w:r>
            <w:r>
              <w:rPr>
                <w:rFonts w:hint="default" w:ascii="Times New Roman" w:hAnsi="Times New Roman" w:eastAsia="宋体" w:cs="Times New Roman"/>
                <w:color w:val="auto"/>
                <w:sz w:val="24"/>
                <w:szCs w:val="24"/>
                <w:highlight w:val="none"/>
                <w:vertAlign w:val="baseline"/>
                <w:lang w:eastAsia="zh-CN"/>
              </w:rPr>
              <w:t>装置或系统未明确给出其计量特性时，可用传感器与二次仪表的计量特性按误差合成方法合成。</w:t>
            </w:r>
          </w:p>
          <w:p w14:paraId="584E7E0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Times New Roman" w:hAnsi="Times New Roman" w:cs="Times New Roman"/>
                <w:color w:val="auto"/>
                <w:sz w:val="24"/>
                <w:szCs w:val="24"/>
                <w:highlight w:val="none"/>
                <w:vertAlign w:val="baseline"/>
                <w:lang w:eastAsia="zh-CN"/>
              </w:rPr>
            </w:pPr>
            <w:r>
              <w:rPr>
                <w:rFonts w:hint="default" w:ascii="Times New Roman" w:hAnsi="Times New Roman" w:cs="Times New Roman"/>
                <w:color w:val="auto"/>
                <w:sz w:val="24"/>
                <w:szCs w:val="24"/>
                <w:highlight w:val="none"/>
                <w:vertAlign w:val="baseline"/>
                <w:lang w:val="en-US" w:eastAsia="zh-CN"/>
              </w:rPr>
              <w:t>2. 运</w:t>
            </w:r>
            <w:r>
              <w:rPr>
                <w:rFonts w:hint="default" w:ascii="Times New Roman" w:hAnsi="Times New Roman" w:eastAsia="宋体" w:cs="Times New Roman"/>
                <w:color w:val="auto"/>
                <w:sz w:val="24"/>
                <w:szCs w:val="24"/>
                <w:highlight w:val="none"/>
                <w:vertAlign w:val="baseline"/>
                <w:lang w:eastAsia="zh-CN"/>
              </w:rPr>
              <w:t>行中的电能</w:t>
            </w:r>
            <w:r>
              <w:rPr>
                <w:rFonts w:hint="default" w:ascii="Times New Roman" w:hAnsi="Times New Roman" w:cs="Times New Roman"/>
                <w:color w:val="auto"/>
                <w:sz w:val="24"/>
                <w:szCs w:val="24"/>
                <w:highlight w:val="none"/>
                <w:vertAlign w:val="baseline"/>
                <w:lang w:val="en-US" w:eastAsia="zh-CN"/>
              </w:rPr>
              <w:t>计量装置按</w:t>
            </w:r>
            <w:r>
              <w:rPr>
                <w:rFonts w:hint="default" w:ascii="Times New Roman" w:hAnsi="Times New Roman" w:eastAsia="宋体" w:cs="Times New Roman"/>
                <w:color w:val="auto"/>
                <w:sz w:val="24"/>
                <w:szCs w:val="24"/>
                <w:highlight w:val="none"/>
                <w:vertAlign w:val="baseline"/>
                <w:lang w:eastAsia="zh-CN"/>
              </w:rPr>
              <w:t>其所</w:t>
            </w:r>
            <w:r>
              <w:rPr>
                <w:rFonts w:hint="default" w:ascii="Times New Roman" w:hAnsi="Times New Roman" w:cs="Times New Roman"/>
                <w:color w:val="auto"/>
                <w:sz w:val="24"/>
                <w:szCs w:val="24"/>
                <w:highlight w:val="none"/>
                <w:vertAlign w:val="baseline"/>
                <w:lang w:val="en-US" w:eastAsia="zh-CN"/>
              </w:rPr>
              <w:t>计量电能量的多少，将用户分为五类。</w:t>
            </w:r>
            <w:r>
              <w:rPr>
                <w:rFonts w:hint="default" w:ascii="Times New Roman" w:hAnsi="Times New Roman" w:eastAsia="微软雅黑" w:cs="Times New Roman"/>
                <w:color w:val="auto"/>
                <w:sz w:val="24"/>
                <w:szCs w:val="24"/>
                <w:highlight w:val="none"/>
                <w:vertAlign w:val="baseline"/>
                <w:lang w:val="en-US" w:eastAsia="zh-CN"/>
              </w:rPr>
              <w:t>Ⅰ</w:t>
            </w:r>
            <w:r>
              <w:rPr>
                <w:rFonts w:hint="default" w:ascii="Times New Roman" w:hAnsi="Times New Roman" w:cs="Times New Roman"/>
                <w:color w:val="auto"/>
                <w:sz w:val="24"/>
                <w:szCs w:val="24"/>
                <w:highlight w:val="none"/>
                <w:vertAlign w:val="baseline"/>
                <w:lang w:val="en-US" w:eastAsia="zh-CN"/>
              </w:rPr>
              <w:t>类用户</w:t>
            </w:r>
            <w:r>
              <w:rPr>
                <w:rFonts w:hint="default" w:ascii="Times New Roman" w:hAnsi="Times New Roman" w:eastAsia="宋体" w:cs="Times New Roman"/>
                <w:color w:val="auto"/>
                <w:sz w:val="24"/>
                <w:szCs w:val="24"/>
                <w:highlight w:val="none"/>
                <w:vertAlign w:val="baseline"/>
                <w:lang w:eastAsia="zh-CN"/>
              </w:rPr>
              <w:t>为月平均用</w:t>
            </w:r>
            <w:r>
              <w:rPr>
                <w:rFonts w:hint="default" w:ascii="Times New Roman" w:hAnsi="Times New Roman" w:cs="Times New Roman"/>
                <w:color w:val="auto"/>
                <w:sz w:val="24"/>
                <w:szCs w:val="24"/>
                <w:highlight w:val="none"/>
                <w:vertAlign w:val="baseline"/>
                <w:lang w:val="en-US" w:eastAsia="zh-CN"/>
              </w:rPr>
              <w:t>电量5</w:t>
            </w:r>
            <w:r>
              <w:rPr>
                <w:rFonts w:hint="default" w:ascii="Times New Roman" w:hAnsi="Times New Roman" w:eastAsia="宋体" w:cs="Times New Roman"/>
                <w:color w:val="auto"/>
                <w:sz w:val="24"/>
                <w:szCs w:val="24"/>
                <w:highlight w:val="none"/>
                <w:vertAlign w:val="baseline"/>
                <w:lang w:eastAsia="zh-CN"/>
              </w:rPr>
              <w:t>00万kWh及以上或</w:t>
            </w:r>
            <w:r>
              <w:rPr>
                <w:rFonts w:hint="default" w:ascii="Times New Roman" w:hAnsi="Times New Roman" w:cs="Times New Roman"/>
                <w:color w:val="auto"/>
                <w:sz w:val="24"/>
                <w:szCs w:val="24"/>
                <w:highlight w:val="none"/>
                <w:vertAlign w:val="baseline"/>
                <w:lang w:val="en-US" w:eastAsia="zh-CN"/>
              </w:rPr>
              <w:t>变压器容量为10000kVA及以上的高压计费用户；</w:t>
            </w:r>
            <w:r>
              <w:rPr>
                <w:rFonts w:hint="default" w:ascii="Times New Roman" w:hAnsi="Times New Roman" w:eastAsia="微软雅黑" w:cs="Times New Roman"/>
                <w:color w:val="auto"/>
                <w:sz w:val="24"/>
                <w:szCs w:val="24"/>
                <w:highlight w:val="none"/>
                <w:vertAlign w:val="baseline"/>
                <w:lang w:val="en-US" w:eastAsia="zh-CN"/>
              </w:rPr>
              <w:t>Ⅱ</w:t>
            </w:r>
            <w:r>
              <w:rPr>
                <w:rFonts w:hint="default" w:ascii="Times New Roman" w:hAnsi="Times New Roman" w:cs="Times New Roman"/>
                <w:color w:val="auto"/>
                <w:sz w:val="24"/>
                <w:szCs w:val="24"/>
                <w:highlight w:val="none"/>
                <w:vertAlign w:val="baseline"/>
                <w:lang w:val="en-US" w:eastAsia="zh-CN"/>
              </w:rPr>
              <w:t>类用户</w:t>
            </w:r>
            <w:r>
              <w:rPr>
                <w:rFonts w:hint="default" w:ascii="Times New Roman" w:hAnsi="Times New Roman" w:eastAsia="宋体" w:cs="Times New Roman"/>
                <w:color w:val="auto"/>
                <w:sz w:val="24"/>
                <w:szCs w:val="24"/>
                <w:highlight w:val="none"/>
                <w:vertAlign w:val="baseline"/>
                <w:lang w:eastAsia="zh-CN"/>
              </w:rPr>
              <w:t>为</w:t>
            </w:r>
            <w:r>
              <w:rPr>
                <w:rFonts w:hint="default" w:ascii="Times New Roman" w:hAnsi="Times New Roman" w:cs="Times New Roman"/>
                <w:color w:val="auto"/>
                <w:sz w:val="24"/>
                <w:szCs w:val="24"/>
                <w:highlight w:val="none"/>
                <w:vertAlign w:val="baseline"/>
                <w:lang w:val="en-US" w:eastAsia="zh-CN"/>
              </w:rPr>
              <w:t>小于</w:t>
            </w:r>
            <w:r>
              <w:rPr>
                <w:rFonts w:hint="default" w:ascii="Times New Roman" w:hAnsi="Times New Roman" w:eastAsia="微软雅黑" w:cs="Times New Roman"/>
                <w:color w:val="auto"/>
                <w:sz w:val="24"/>
                <w:szCs w:val="24"/>
                <w:highlight w:val="none"/>
                <w:vertAlign w:val="baseline"/>
                <w:lang w:val="en-US" w:eastAsia="zh-CN"/>
              </w:rPr>
              <w:t>Ⅰ</w:t>
            </w:r>
            <w:r>
              <w:rPr>
                <w:rFonts w:hint="default" w:ascii="Times New Roman" w:hAnsi="Times New Roman" w:cs="Times New Roman"/>
                <w:color w:val="auto"/>
                <w:sz w:val="24"/>
                <w:szCs w:val="24"/>
                <w:highlight w:val="none"/>
                <w:vertAlign w:val="baseline"/>
                <w:lang w:val="en-US" w:eastAsia="zh-CN"/>
              </w:rPr>
              <w:t>类用户用电量（或变压器容量），但</w:t>
            </w:r>
            <w:r>
              <w:rPr>
                <w:rFonts w:hint="default" w:ascii="Times New Roman" w:hAnsi="Times New Roman" w:eastAsia="宋体" w:cs="Times New Roman"/>
                <w:color w:val="auto"/>
                <w:sz w:val="24"/>
                <w:szCs w:val="24"/>
                <w:highlight w:val="none"/>
                <w:vertAlign w:val="baseline"/>
                <w:lang w:eastAsia="zh-CN"/>
              </w:rPr>
              <w:t>月平均用</w:t>
            </w:r>
            <w:r>
              <w:rPr>
                <w:rFonts w:hint="default" w:ascii="Times New Roman" w:hAnsi="Times New Roman" w:cs="Times New Roman"/>
                <w:color w:val="auto"/>
                <w:sz w:val="24"/>
                <w:szCs w:val="24"/>
                <w:highlight w:val="none"/>
                <w:vertAlign w:val="baseline"/>
                <w:lang w:val="en-US" w:eastAsia="zh-CN"/>
              </w:rPr>
              <w:t>电量1</w:t>
            </w:r>
            <w:r>
              <w:rPr>
                <w:rFonts w:hint="default" w:ascii="Times New Roman" w:hAnsi="Times New Roman" w:eastAsia="宋体" w:cs="Times New Roman"/>
                <w:color w:val="auto"/>
                <w:sz w:val="24"/>
                <w:szCs w:val="24"/>
                <w:highlight w:val="none"/>
                <w:vertAlign w:val="baseline"/>
                <w:lang w:eastAsia="zh-CN"/>
              </w:rPr>
              <w:t>00万kWh及以上或</w:t>
            </w:r>
            <w:r>
              <w:rPr>
                <w:rFonts w:hint="default" w:ascii="Times New Roman" w:hAnsi="Times New Roman" w:cs="Times New Roman"/>
                <w:color w:val="auto"/>
                <w:sz w:val="24"/>
                <w:szCs w:val="24"/>
                <w:highlight w:val="none"/>
                <w:vertAlign w:val="baseline"/>
                <w:lang w:val="en-US" w:eastAsia="zh-CN"/>
              </w:rPr>
              <w:t>变压器容量为2000kVA及以上的高压计费用户；</w:t>
            </w:r>
            <w:r>
              <w:rPr>
                <w:rFonts w:hint="default" w:ascii="Times New Roman" w:hAnsi="Times New Roman" w:eastAsia="微软雅黑" w:cs="Times New Roman"/>
                <w:color w:val="auto"/>
                <w:sz w:val="24"/>
                <w:szCs w:val="24"/>
                <w:highlight w:val="none"/>
                <w:vertAlign w:val="baseline"/>
                <w:lang w:val="en-US" w:eastAsia="zh-CN"/>
              </w:rPr>
              <w:t>Ⅲ</w:t>
            </w:r>
            <w:r>
              <w:rPr>
                <w:rFonts w:hint="default" w:ascii="Times New Roman" w:hAnsi="Times New Roman" w:cs="Times New Roman"/>
                <w:color w:val="auto"/>
                <w:sz w:val="24"/>
                <w:szCs w:val="24"/>
                <w:highlight w:val="none"/>
                <w:vertAlign w:val="baseline"/>
                <w:lang w:val="en-US" w:eastAsia="zh-CN"/>
              </w:rPr>
              <w:t>类用户</w:t>
            </w:r>
            <w:r>
              <w:rPr>
                <w:rFonts w:hint="default" w:ascii="Times New Roman" w:hAnsi="Times New Roman" w:eastAsia="宋体" w:cs="Times New Roman"/>
                <w:color w:val="auto"/>
                <w:sz w:val="24"/>
                <w:szCs w:val="24"/>
                <w:highlight w:val="none"/>
                <w:vertAlign w:val="baseline"/>
                <w:lang w:eastAsia="zh-CN"/>
              </w:rPr>
              <w:t>为</w:t>
            </w:r>
            <w:r>
              <w:rPr>
                <w:rFonts w:hint="default" w:ascii="Times New Roman" w:hAnsi="Times New Roman" w:cs="Times New Roman"/>
                <w:color w:val="auto"/>
                <w:sz w:val="24"/>
                <w:szCs w:val="24"/>
                <w:highlight w:val="none"/>
                <w:vertAlign w:val="baseline"/>
                <w:lang w:val="en-US" w:eastAsia="zh-CN"/>
              </w:rPr>
              <w:t>小于</w:t>
            </w:r>
            <w:r>
              <w:rPr>
                <w:rFonts w:hint="default" w:ascii="Times New Roman" w:hAnsi="Times New Roman" w:eastAsia="微软雅黑" w:cs="Times New Roman"/>
                <w:color w:val="auto"/>
                <w:sz w:val="24"/>
                <w:szCs w:val="24"/>
                <w:highlight w:val="none"/>
                <w:vertAlign w:val="baseline"/>
                <w:lang w:val="en-US" w:eastAsia="zh-CN"/>
              </w:rPr>
              <w:t>Ⅱ</w:t>
            </w:r>
            <w:r>
              <w:rPr>
                <w:rFonts w:hint="default" w:ascii="Times New Roman" w:hAnsi="Times New Roman" w:cs="Times New Roman"/>
                <w:color w:val="auto"/>
                <w:sz w:val="24"/>
                <w:szCs w:val="24"/>
                <w:highlight w:val="none"/>
                <w:vertAlign w:val="baseline"/>
                <w:lang w:val="en-US" w:eastAsia="zh-CN"/>
              </w:rPr>
              <w:t>类用户用电量（或变压器容量），但</w:t>
            </w:r>
            <w:r>
              <w:rPr>
                <w:rFonts w:hint="default" w:ascii="Times New Roman" w:hAnsi="Times New Roman" w:eastAsia="宋体" w:cs="Times New Roman"/>
                <w:color w:val="auto"/>
                <w:sz w:val="24"/>
                <w:szCs w:val="24"/>
                <w:highlight w:val="none"/>
                <w:vertAlign w:val="baseline"/>
                <w:lang w:eastAsia="zh-CN"/>
              </w:rPr>
              <w:t>月平均用</w:t>
            </w:r>
            <w:r>
              <w:rPr>
                <w:rFonts w:hint="default" w:ascii="Times New Roman" w:hAnsi="Times New Roman" w:cs="Times New Roman"/>
                <w:color w:val="auto"/>
                <w:sz w:val="24"/>
                <w:szCs w:val="24"/>
                <w:highlight w:val="none"/>
                <w:vertAlign w:val="baseline"/>
                <w:lang w:val="en-US" w:eastAsia="zh-CN"/>
              </w:rPr>
              <w:t>电量1</w:t>
            </w:r>
            <w:r>
              <w:rPr>
                <w:rFonts w:hint="default" w:ascii="Times New Roman" w:hAnsi="Times New Roman" w:eastAsia="宋体" w:cs="Times New Roman"/>
                <w:color w:val="auto"/>
                <w:sz w:val="24"/>
                <w:szCs w:val="24"/>
                <w:highlight w:val="none"/>
                <w:vertAlign w:val="baseline"/>
                <w:lang w:eastAsia="zh-CN"/>
              </w:rPr>
              <w:t>0万kWh及以上或</w:t>
            </w:r>
            <w:r>
              <w:rPr>
                <w:rFonts w:hint="default" w:ascii="Times New Roman" w:hAnsi="Times New Roman" w:cs="Times New Roman"/>
                <w:color w:val="auto"/>
                <w:sz w:val="24"/>
                <w:szCs w:val="24"/>
                <w:highlight w:val="none"/>
                <w:vertAlign w:val="baseline"/>
                <w:lang w:val="en-US" w:eastAsia="zh-CN"/>
              </w:rPr>
              <w:t>变压器容量为315kVA及以上的计费用户；</w:t>
            </w:r>
            <w:r>
              <w:rPr>
                <w:rFonts w:hint="default" w:ascii="Times New Roman" w:hAnsi="Times New Roman" w:eastAsia="微软雅黑" w:cs="Times New Roman"/>
                <w:color w:val="auto"/>
                <w:sz w:val="24"/>
                <w:szCs w:val="24"/>
                <w:highlight w:val="none"/>
                <w:vertAlign w:val="baseline"/>
                <w:lang w:val="en-US" w:eastAsia="zh-CN"/>
              </w:rPr>
              <w:t>Ⅳ</w:t>
            </w:r>
            <w:r>
              <w:rPr>
                <w:rFonts w:hint="default" w:ascii="Times New Roman" w:hAnsi="Times New Roman" w:cs="Times New Roman"/>
                <w:color w:val="auto"/>
                <w:sz w:val="24"/>
                <w:szCs w:val="24"/>
                <w:highlight w:val="none"/>
                <w:vertAlign w:val="baseline"/>
                <w:lang w:val="en-US" w:eastAsia="zh-CN"/>
              </w:rPr>
              <w:t>类用户</w:t>
            </w:r>
            <w:r>
              <w:rPr>
                <w:rFonts w:hint="default" w:ascii="Times New Roman" w:hAnsi="Times New Roman" w:eastAsia="宋体" w:cs="Times New Roman"/>
                <w:color w:val="auto"/>
                <w:sz w:val="24"/>
                <w:szCs w:val="24"/>
                <w:highlight w:val="none"/>
                <w:vertAlign w:val="baseline"/>
                <w:lang w:eastAsia="zh-CN"/>
              </w:rPr>
              <w:t>为</w:t>
            </w:r>
            <w:r>
              <w:rPr>
                <w:rFonts w:hint="default" w:ascii="Times New Roman" w:hAnsi="Times New Roman" w:cs="Times New Roman"/>
                <w:color w:val="auto"/>
                <w:sz w:val="24"/>
                <w:szCs w:val="24"/>
                <w:highlight w:val="none"/>
                <w:vertAlign w:val="baseline"/>
                <w:lang w:val="en-US" w:eastAsia="zh-CN"/>
              </w:rPr>
              <w:t>负荷</w:t>
            </w:r>
            <w:r>
              <w:rPr>
                <w:rFonts w:hint="default" w:ascii="Times New Roman" w:hAnsi="Times New Roman" w:eastAsia="宋体" w:cs="Times New Roman"/>
                <w:color w:val="auto"/>
                <w:sz w:val="24"/>
                <w:szCs w:val="24"/>
                <w:highlight w:val="none"/>
                <w:vertAlign w:val="baseline"/>
                <w:lang w:eastAsia="zh-CN"/>
              </w:rPr>
              <w:t>容量为315kVA及</w:t>
            </w:r>
            <w:r>
              <w:rPr>
                <w:rFonts w:hint="default" w:ascii="Times New Roman" w:hAnsi="Times New Roman" w:cs="Times New Roman"/>
                <w:color w:val="auto"/>
                <w:sz w:val="24"/>
                <w:szCs w:val="24"/>
                <w:highlight w:val="none"/>
                <w:vertAlign w:val="baseline"/>
                <w:lang w:val="en-US" w:eastAsia="zh-CN"/>
              </w:rPr>
              <w:t>以下</w:t>
            </w:r>
            <w:r>
              <w:rPr>
                <w:rFonts w:hint="default" w:ascii="Times New Roman" w:hAnsi="Times New Roman" w:eastAsia="宋体" w:cs="Times New Roman"/>
                <w:color w:val="auto"/>
                <w:sz w:val="24"/>
                <w:szCs w:val="24"/>
                <w:highlight w:val="none"/>
                <w:vertAlign w:val="baseline"/>
                <w:lang w:eastAsia="zh-CN"/>
              </w:rPr>
              <w:t>的</w:t>
            </w:r>
            <w:r>
              <w:rPr>
                <w:rFonts w:hint="default" w:ascii="Times New Roman" w:hAnsi="Times New Roman" w:cs="Times New Roman"/>
                <w:color w:val="auto"/>
                <w:sz w:val="24"/>
                <w:szCs w:val="24"/>
                <w:highlight w:val="none"/>
                <w:vertAlign w:val="baseline"/>
                <w:lang w:val="en-US" w:eastAsia="zh-CN"/>
              </w:rPr>
              <w:t>计</w:t>
            </w:r>
            <w:r>
              <w:rPr>
                <w:rFonts w:hint="default" w:ascii="Times New Roman" w:hAnsi="Times New Roman" w:eastAsia="宋体" w:cs="Times New Roman"/>
                <w:color w:val="auto"/>
                <w:sz w:val="24"/>
                <w:szCs w:val="24"/>
                <w:highlight w:val="none"/>
                <w:vertAlign w:val="baseline"/>
                <w:lang w:eastAsia="zh-CN"/>
              </w:rPr>
              <w:t>费用户</w:t>
            </w:r>
            <w:r>
              <w:rPr>
                <w:rFonts w:hint="default" w:ascii="Times New Roman" w:hAnsi="Times New Roman" w:cs="Times New Roman"/>
                <w:color w:val="auto"/>
                <w:sz w:val="24"/>
                <w:szCs w:val="24"/>
                <w:highlight w:val="none"/>
                <w:vertAlign w:val="baseline"/>
                <w:lang w:eastAsia="zh-CN"/>
              </w:rPr>
              <w:t>；</w:t>
            </w:r>
            <w:r>
              <w:rPr>
                <w:rFonts w:hint="default" w:ascii="Times New Roman" w:hAnsi="Times New Roman" w:eastAsia="微软雅黑" w:cs="Times New Roman"/>
                <w:color w:val="auto"/>
                <w:sz w:val="24"/>
                <w:szCs w:val="24"/>
                <w:highlight w:val="none"/>
                <w:vertAlign w:val="baseline"/>
                <w:lang w:eastAsia="zh-CN"/>
              </w:rPr>
              <w:t>Ⅴ</w:t>
            </w:r>
            <w:r>
              <w:rPr>
                <w:rFonts w:hint="default" w:ascii="Times New Roman" w:hAnsi="Times New Roman" w:eastAsia="宋体" w:cs="Times New Roman"/>
                <w:color w:val="auto"/>
                <w:sz w:val="24"/>
                <w:szCs w:val="24"/>
                <w:highlight w:val="none"/>
                <w:vertAlign w:val="baseline"/>
                <w:lang w:eastAsia="zh-CN"/>
              </w:rPr>
              <w:t>类用户</w:t>
            </w:r>
            <w:r>
              <w:rPr>
                <w:rFonts w:hint="default" w:ascii="Times New Roman" w:hAnsi="Times New Roman" w:cs="Times New Roman"/>
                <w:color w:val="auto"/>
                <w:sz w:val="24"/>
                <w:szCs w:val="24"/>
                <w:highlight w:val="none"/>
                <w:vertAlign w:val="baseline"/>
                <w:lang w:val="en-US" w:eastAsia="zh-CN"/>
              </w:rPr>
              <w:t>单相供电的</w:t>
            </w:r>
            <w:r>
              <w:rPr>
                <w:rFonts w:hint="default" w:ascii="Times New Roman" w:hAnsi="Times New Roman" w:eastAsia="宋体" w:cs="Times New Roman"/>
                <w:color w:val="auto"/>
                <w:sz w:val="24"/>
                <w:szCs w:val="24"/>
                <w:highlight w:val="none"/>
                <w:vertAlign w:val="baseline"/>
                <w:lang w:eastAsia="zh-CN"/>
              </w:rPr>
              <w:t>计费用户</w:t>
            </w:r>
            <w:r>
              <w:rPr>
                <w:rFonts w:hint="default" w:ascii="Times New Roman" w:hAnsi="Times New Roman" w:cs="Times New Roman"/>
                <w:color w:val="auto"/>
                <w:sz w:val="24"/>
                <w:szCs w:val="24"/>
                <w:highlight w:val="none"/>
                <w:vertAlign w:val="baseline"/>
                <w:lang w:eastAsia="zh-CN"/>
              </w:rPr>
              <w:t>。</w:t>
            </w:r>
          </w:p>
        </w:tc>
      </w:tr>
    </w:tbl>
    <w:p w14:paraId="3DD7870E">
      <w:pPr>
        <w:pStyle w:val="7"/>
        <w:spacing w:before="260" w:after="40" w:line="360" w:lineRule="auto"/>
        <w:ind w:left="0"/>
        <w:outlineLvl w:val="0"/>
        <w:rPr>
          <w:rFonts w:hint="default" w:ascii="Times New Roman" w:hAnsi="Times New Roman" w:eastAsia="黑体" w:cs="Times New Roman"/>
          <w:b/>
          <w:color w:val="auto"/>
          <w:highlight w:val="none"/>
          <w:lang w:val="en-US" w:eastAsia="zh-CN"/>
        </w:rPr>
      </w:pPr>
      <w:bookmarkStart w:id="22" w:name="_Toc26375"/>
      <w:bookmarkStart w:id="23" w:name="_Toc6357"/>
      <w:r>
        <w:rPr>
          <w:rFonts w:hint="default" w:ascii="Times New Roman" w:hAnsi="Times New Roman" w:eastAsia="黑体" w:cs="Times New Roman"/>
          <w:b/>
          <w:color w:val="auto"/>
          <w:highlight w:val="none"/>
          <w:lang w:val="en-US" w:eastAsia="zh-CN"/>
        </w:rPr>
        <w:t>5 计量器具的管理要求</w:t>
      </w:r>
      <w:bookmarkEnd w:id="22"/>
      <w:bookmarkEnd w:id="23"/>
    </w:p>
    <w:p w14:paraId="3D3FDBB0">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auto"/>
          <w:sz w:val="24"/>
          <w:szCs w:val="24"/>
          <w:highlight w:val="none"/>
        </w:rPr>
      </w:pPr>
      <w:bookmarkStart w:id="24" w:name="_Toc7999"/>
      <w:bookmarkStart w:id="25" w:name="_Toc7484"/>
      <w:r>
        <w:rPr>
          <w:rFonts w:hint="default" w:ascii="Times New Roman" w:hAnsi="Times New Roman" w:eastAsia="宋体" w:cs="Times New Roman"/>
          <w:color w:val="auto"/>
          <w:sz w:val="24"/>
          <w:szCs w:val="24"/>
          <w:highlight w:val="none"/>
        </w:rPr>
        <w:t>5.1 计量制度</w:t>
      </w:r>
      <w:bookmarkEnd w:id="24"/>
      <w:bookmarkEnd w:id="25"/>
    </w:p>
    <w:p w14:paraId="294D4B8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5.1.1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企业应建立企业监测计量管理体系，形成文件，并保持和持续改进其有效性</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管理制度应形成文件</w:t>
      </w:r>
      <w:r>
        <w:rPr>
          <w:rFonts w:hint="default"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传达至有关人员，被其获取</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理解</w:t>
      </w:r>
      <w:r>
        <w:rPr>
          <w:rFonts w:hint="default" w:ascii="Times New Roman" w:hAnsi="Times New Roman" w:eastAsia="宋体" w:cs="Times New Roman"/>
          <w:color w:val="auto"/>
          <w:sz w:val="24"/>
          <w:szCs w:val="24"/>
          <w:highlight w:val="none"/>
        </w:rPr>
        <w:t>和执行。</w:t>
      </w:r>
    </w:p>
    <w:p w14:paraId="0030A7D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5.1.2</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企业应建立、保持和使用文件化的程序来规范计量人员行为、计量器具管理和计量数据的采集处理和汇总。</w:t>
      </w:r>
    </w:p>
    <w:p w14:paraId="30B68E7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5.1.3</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企业应对监测计量器具的配备、申购、验收、保管、使用、量值溯源、维护和报废处理等环节形成制度并实施有效管理，确保计量器具量值准确可靠，满足计量数据采集需要。</w:t>
      </w:r>
    </w:p>
    <w:p w14:paraId="4DC9DF3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auto"/>
          <w:sz w:val="24"/>
          <w:szCs w:val="24"/>
          <w:highlight w:val="none"/>
        </w:rPr>
      </w:pPr>
      <w:bookmarkStart w:id="26" w:name="_Toc4594"/>
      <w:bookmarkStart w:id="27" w:name="_Toc11118"/>
      <w:r>
        <w:rPr>
          <w:rFonts w:hint="default" w:ascii="Times New Roman" w:hAnsi="Times New Roman" w:eastAsia="宋体" w:cs="Times New Roman"/>
          <w:color w:val="auto"/>
          <w:sz w:val="24"/>
          <w:szCs w:val="24"/>
          <w:highlight w:val="none"/>
        </w:rPr>
        <w:t>5.2</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计量人员</w:t>
      </w:r>
      <w:bookmarkEnd w:id="26"/>
      <w:bookmarkEnd w:id="27"/>
    </w:p>
    <w:p w14:paraId="0AB149F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5.2.1</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企业应设专人负责计量器具的配备、使用、量值溯源、维修、报废处理等管理工作，确保计量器具量值的准确可靠。</w:t>
      </w:r>
    </w:p>
    <w:p w14:paraId="6DC0758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5.2.2</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企业应设专人负责“两高”</w:t>
      </w:r>
      <w:r>
        <w:rPr>
          <w:rFonts w:hint="default" w:ascii="Times New Roman" w:hAnsi="Times New Roman" w:cs="Times New Roman"/>
          <w:color w:val="auto"/>
          <w:sz w:val="24"/>
          <w:szCs w:val="24"/>
          <w:highlight w:val="none"/>
          <w:lang w:val="en-US" w:eastAsia="zh-CN"/>
        </w:rPr>
        <w:t>用能</w:t>
      </w:r>
      <w:r>
        <w:rPr>
          <w:rFonts w:hint="default" w:ascii="Times New Roman" w:hAnsi="Times New Roman" w:eastAsia="宋体" w:cs="Times New Roman"/>
          <w:color w:val="auto"/>
          <w:sz w:val="24"/>
          <w:szCs w:val="24"/>
          <w:highlight w:val="none"/>
        </w:rPr>
        <w:t>监测计量数据的采集、分析，保证监测计量数据完整、真实、准确。</w:t>
      </w:r>
    </w:p>
    <w:p w14:paraId="7CFF834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5.2.3</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w:t>
      </w:r>
      <w:r>
        <w:rPr>
          <w:rFonts w:hint="default" w:ascii="Times New Roman" w:hAnsi="Times New Roman" w:cs="Times New Roman"/>
          <w:color w:val="auto"/>
          <w:sz w:val="24"/>
          <w:szCs w:val="24"/>
          <w:highlight w:val="none"/>
          <w:lang w:val="en-US" w:eastAsia="zh-CN"/>
        </w:rPr>
        <w:t>计量人员</w:t>
      </w:r>
      <w:r>
        <w:rPr>
          <w:rFonts w:hint="default" w:ascii="Times New Roman" w:hAnsi="Times New Roman" w:eastAsia="宋体" w:cs="Times New Roman"/>
          <w:color w:val="auto"/>
          <w:sz w:val="24"/>
          <w:szCs w:val="24"/>
          <w:highlight w:val="none"/>
        </w:rPr>
        <w:t>应</w:t>
      </w:r>
      <w:r>
        <w:rPr>
          <w:rFonts w:hint="default" w:ascii="Times New Roman" w:hAnsi="Times New Roman" w:cs="Times New Roman"/>
          <w:color w:val="auto"/>
          <w:sz w:val="24"/>
          <w:szCs w:val="24"/>
          <w:highlight w:val="none"/>
          <w:lang w:val="en-US" w:eastAsia="zh-CN"/>
        </w:rPr>
        <w:t>通过培训考核</w:t>
      </w:r>
      <w:r>
        <w:rPr>
          <w:rFonts w:hint="default" w:ascii="Times New Roman" w:hAnsi="Times New Roman" w:eastAsia="宋体" w:cs="Times New Roman"/>
          <w:color w:val="auto"/>
          <w:sz w:val="24"/>
          <w:szCs w:val="24"/>
          <w:highlight w:val="none"/>
        </w:rPr>
        <w:t>，</w:t>
      </w:r>
      <w:r>
        <w:rPr>
          <w:rFonts w:hint="default" w:ascii="Times New Roman" w:hAnsi="Times New Roman" w:cs="Times New Roman"/>
          <w:color w:val="auto"/>
          <w:sz w:val="24"/>
          <w:szCs w:val="24"/>
          <w:highlight w:val="none"/>
          <w:lang w:val="en-US" w:eastAsia="zh-CN"/>
        </w:rPr>
        <w:t>持证上岗；其应</w:t>
      </w:r>
      <w:r>
        <w:rPr>
          <w:rFonts w:hint="default" w:ascii="Times New Roman" w:hAnsi="Times New Roman" w:eastAsia="宋体" w:cs="Times New Roman"/>
          <w:color w:val="auto"/>
          <w:sz w:val="24"/>
          <w:szCs w:val="24"/>
          <w:highlight w:val="none"/>
        </w:rPr>
        <w:t>建立和保存计量人员的技术档案</w:t>
      </w:r>
      <w:r>
        <w:rPr>
          <w:rFonts w:hint="default" w:ascii="Times New Roman" w:hAnsi="Times New Roman" w:eastAsia="宋体" w:cs="Times New Roman"/>
          <w:color w:val="auto"/>
          <w:sz w:val="24"/>
          <w:szCs w:val="24"/>
          <w:highlight w:val="none"/>
          <w:lang w:eastAsia="zh-CN"/>
        </w:rPr>
        <w:t>。</w:t>
      </w:r>
    </w:p>
    <w:p w14:paraId="761F980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5.2.4 计量器具安装、检定、校准和维修人员，应具有相应的资质。</w:t>
      </w:r>
    </w:p>
    <w:p w14:paraId="377223C4">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auto"/>
          <w:sz w:val="24"/>
          <w:szCs w:val="24"/>
          <w:highlight w:val="none"/>
        </w:rPr>
      </w:pPr>
      <w:bookmarkStart w:id="28" w:name="_Toc20731"/>
      <w:bookmarkStart w:id="29" w:name="_Toc13833"/>
      <w:r>
        <w:rPr>
          <w:rFonts w:hint="default" w:ascii="Times New Roman" w:hAnsi="Times New Roman" w:eastAsia="宋体" w:cs="Times New Roman"/>
          <w:color w:val="auto"/>
          <w:sz w:val="24"/>
          <w:szCs w:val="24"/>
          <w:highlight w:val="none"/>
        </w:rPr>
        <w:t>5.3 计量器具</w:t>
      </w:r>
      <w:bookmarkEnd w:id="28"/>
      <w:bookmarkEnd w:id="29"/>
    </w:p>
    <w:p w14:paraId="4ACF5C8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5.3.1</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企业应有完整的计量器具一览表。表中应列出计量器具的名称、型号规格、准确度等级/最大允许误差/测量不确定度、测量范围、生产厂家、出厂编号、安装使用地点、状态</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如合格、准用、停用</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、溯源机构及有效期等信息，相关资料应保存完整。</w:t>
      </w:r>
    </w:p>
    <w:p w14:paraId="5C0023D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5.3.2</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企业应建立监测计量器具档案，内容包括但不限于</w:t>
      </w:r>
      <w:r>
        <w:rPr>
          <w:rFonts w:hint="default" w:ascii="Times New Roman" w:hAnsi="Times New Roman" w:eastAsia="宋体" w:cs="Times New Roman"/>
          <w:color w:val="auto"/>
          <w:sz w:val="24"/>
          <w:szCs w:val="24"/>
          <w:highlight w:val="none"/>
          <w:lang w:eastAsia="zh-CN"/>
        </w:rPr>
        <w:t>：</w:t>
      </w:r>
    </w:p>
    <w:p w14:paraId="46AF92C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a) 计量器具使用说明书</w:t>
      </w:r>
      <w:r>
        <w:rPr>
          <w:rFonts w:hint="default" w:ascii="Times New Roman" w:hAnsi="Times New Roman" w:eastAsia="宋体" w:cs="Times New Roman"/>
          <w:color w:val="auto"/>
          <w:sz w:val="24"/>
          <w:szCs w:val="24"/>
          <w:highlight w:val="none"/>
          <w:lang w:eastAsia="zh-CN"/>
        </w:rPr>
        <w:t>；</w:t>
      </w:r>
    </w:p>
    <w:p w14:paraId="248B76D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b) 计量器具出厂合格证</w:t>
      </w:r>
      <w:r>
        <w:rPr>
          <w:rFonts w:hint="default" w:ascii="Times New Roman" w:hAnsi="Times New Roman" w:eastAsia="宋体" w:cs="Times New Roman"/>
          <w:color w:val="auto"/>
          <w:sz w:val="24"/>
          <w:szCs w:val="24"/>
          <w:highlight w:val="none"/>
          <w:lang w:eastAsia="zh-CN"/>
        </w:rPr>
        <w:t>；</w:t>
      </w:r>
    </w:p>
    <w:p w14:paraId="435856A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c) 计量器具最近两个连续周期的量值溯源证书</w:t>
      </w:r>
      <w:r>
        <w:rPr>
          <w:rFonts w:hint="default" w:ascii="Times New Roman" w:hAnsi="Times New Roman" w:eastAsia="宋体" w:cs="Times New Roman"/>
          <w:color w:val="auto"/>
          <w:sz w:val="24"/>
          <w:szCs w:val="24"/>
          <w:highlight w:val="none"/>
          <w:lang w:eastAsia="zh-CN"/>
        </w:rPr>
        <w:t>；</w:t>
      </w:r>
    </w:p>
    <w:p w14:paraId="121C16F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d) 计量器具维修记录</w:t>
      </w:r>
      <w:r>
        <w:rPr>
          <w:rFonts w:hint="default" w:ascii="Times New Roman" w:hAnsi="Times New Roman" w:eastAsia="宋体" w:cs="Times New Roman"/>
          <w:color w:val="auto"/>
          <w:sz w:val="24"/>
          <w:szCs w:val="24"/>
          <w:highlight w:val="none"/>
          <w:lang w:eastAsia="zh-CN"/>
        </w:rPr>
        <w:t>；</w:t>
      </w:r>
    </w:p>
    <w:p w14:paraId="1F23DF0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e) 计量器具其他相关信息</w:t>
      </w:r>
      <w:r>
        <w:rPr>
          <w:rFonts w:hint="default" w:ascii="Times New Roman" w:hAnsi="Times New Roman" w:eastAsia="宋体" w:cs="Times New Roman"/>
          <w:color w:val="auto"/>
          <w:sz w:val="24"/>
          <w:szCs w:val="24"/>
          <w:highlight w:val="none"/>
          <w:lang w:eastAsia="zh-CN"/>
        </w:rPr>
        <w:t>。</w:t>
      </w:r>
    </w:p>
    <w:p w14:paraId="45071A8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5.3.3</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企业应有计量器具量值传递或溯源图，要明确规定其准确度等级/最大允许误差/测量不确定度和测量范围，应逐级溯源至社会公用计量标准。</w:t>
      </w:r>
    </w:p>
    <w:p w14:paraId="0B78E68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5.3.4</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企业的</w:t>
      </w:r>
      <w:r>
        <w:rPr>
          <w:rFonts w:hint="default" w:ascii="Times New Roman" w:hAnsi="Times New Roman" w:cs="Times New Roman"/>
          <w:color w:val="auto"/>
          <w:sz w:val="24"/>
          <w:szCs w:val="24"/>
          <w:highlight w:val="none"/>
          <w:lang w:val="en-US" w:eastAsia="zh-CN"/>
        </w:rPr>
        <w:t>在用</w:t>
      </w:r>
      <w:r>
        <w:rPr>
          <w:rFonts w:hint="default" w:ascii="Times New Roman" w:hAnsi="Times New Roman" w:eastAsia="宋体" w:cs="Times New Roman"/>
          <w:color w:val="auto"/>
          <w:sz w:val="24"/>
          <w:szCs w:val="24"/>
          <w:highlight w:val="none"/>
        </w:rPr>
        <w:t>计量器具应定期进行量值溯源，属强制检定的计量器具</w:t>
      </w:r>
      <w:r>
        <w:rPr>
          <w:rFonts w:hint="default"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其检定周期、检定方式应遵守相关计量法规和技术规范的规定。</w:t>
      </w:r>
    </w:p>
    <w:p w14:paraId="239DC18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5.3.5</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企业的计量器具凡属自行校准或自行确定校准间隔的，应有现行有效的受控文件</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如管理程序和自校规范</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作为依据，并符合相关计量法规和技术规范的要求。</w:t>
      </w:r>
    </w:p>
    <w:p w14:paraId="6DC41C2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5.3.6 在用的计量器具应在明显位置粘贴与计量器具一览表编号对应的设备计量确认状态标识，以备查验和管理。</w:t>
      </w:r>
    </w:p>
    <w:p w14:paraId="05424C3C">
      <w:pPr>
        <w:pStyle w:val="7"/>
        <w:spacing w:before="260" w:after="40" w:line="360" w:lineRule="auto"/>
        <w:ind w:left="0"/>
        <w:outlineLvl w:val="0"/>
        <w:rPr>
          <w:rFonts w:hint="default" w:ascii="Times New Roman" w:hAnsi="Times New Roman" w:eastAsia="黑体" w:cs="Times New Roman"/>
          <w:b/>
          <w:color w:val="auto"/>
          <w:highlight w:val="none"/>
          <w:lang w:val="en-US" w:eastAsia="zh-CN"/>
        </w:rPr>
      </w:pPr>
      <w:bookmarkStart w:id="30" w:name="_Toc24494"/>
      <w:bookmarkStart w:id="31" w:name="_Toc5005"/>
      <w:r>
        <w:rPr>
          <w:rFonts w:hint="default" w:ascii="Times New Roman" w:hAnsi="Times New Roman" w:eastAsia="黑体" w:cs="Times New Roman"/>
          <w:b/>
          <w:color w:val="auto"/>
          <w:highlight w:val="none"/>
          <w:lang w:val="en-US" w:eastAsia="zh-CN"/>
        </w:rPr>
        <w:t>6 数据管理与应用</w:t>
      </w:r>
      <w:bookmarkEnd w:id="30"/>
      <w:bookmarkEnd w:id="31"/>
    </w:p>
    <w:p w14:paraId="41004C3C">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auto"/>
          <w:sz w:val="24"/>
          <w:szCs w:val="24"/>
          <w:highlight w:val="none"/>
        </w:rPr>
      </w:pPr>
      <w:bookmarkStart w:id="32" w:name="_Toc16785"/>
      <w:bookmarkStart w:id="33" w:name="_Toc1861"/>
      <w:r>
        <w:rPr>
          <w:rFonts w:hint="default" w:ascii="Times New Roman" w:hAnsi="Times New Roman" w:eastAsia="宋体" w:cs="Times New Roman"/>
          <w:color w:val="auto"/>
          <w:sz w:val="24"/>
          <w:szCs w:val="24"/>
          <w:highlight w:val="none"/>
        </w:rPr>
        <w:t>6.1</w:t>
      </w:r>
      <w:r>
        <w:rPr>
          <w:rFonts w:hint="default" w:ascii="Times New Roman" w:hAnsi="Times New Roman"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数据管理</w:t>
      </w:r>
      <w:bookmarkEnd w:id="32"/>
      <w:bookmarkEnd w:id="33"/>
    </w:p>
    <w:p w14:paraId="737BD39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6.1.1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企业应建立监测数据统计报表制度，建立统计报表数据与相关测量数据的转换方法或关系表，确保统计报表数据可追溯至计量器具的测量数据。</w:t>
      </w:r>
    </w:p>
    <w:p w14:paraId="4E2B278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6.1.2 </w:t>
      </w:r>
      <w:r>
        <w:rPr>
          <w:rFonts w:hint="default" w:ascii="Times New Roman" w:hAnsi="Times New Roman" w:eastAsia="宋体" w:cs="Times New Roman"/>
          <w:color w:val="auto"/>
          <w:sz w:val="24"/>
          <w:szCs w:val="24"/>
          <w:highlight w:val="none"/>
        </w:rPr>
        <w:t>监测数据记录应采用规范的表格式样，计量测试记录表格应便于数据的汇总与分析。</w:t>
      </w:r>
    </w:p>
    <w:p w14:paraId="4426C2F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6.1.3</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企业可根据需要建立监测数据管理中心，利用计算机技术实现监测数据的网络化管理。</w:t>
      </w:r>
    </w:p>
    <w:p w14:paraId="4707AED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6.1.4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企业可根据需要按生产周期(如班、日、周)及时统计</w:t>
      </w:r>
      <w:r>
        <w:rPr>
          <w:rFonts w:hint="default" w:ascii="Times New Roman" w:hAnsi="Times New Roman" w:cs="Times New Roman"/>
          <w:color w:val="auto"/>
          <w:sz w:val="24"/>
          <w:szCs w:val="24"/>
          <w:highlight w:val="none"/>
          <w:lang w:val="en-US" w:eastAsia="zh-CN"/>
        </w:rPr>
        <w:t>并</w:t>
      </w:r>
      <w:r>
        <w:rPr>
          <w:rFonts w:hint="default" w:ascii="Times New Roman" w:hAnsi="Times New Roman" w:eastAsia="宋体" w:cs="Times New Roman"/>
          <w:color w:val="auto"/>
          <w:sz w:val="24"/>
          <w:szCs w:val="24"/>
          <w:highlight w:val="none"/>
        </w:rPr>
        <w:t>计算出其单位产品的各种主要能源消耗量、原材料消耗量</w:t>
      </w:r>
      <w:r>
        <w:rPr>
          <w:rFonts w:hint="default"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产量</w:t>
      </w:r>
      <w:r>
        <w:rPr>
          <w:rFonts w:hint="default" w:ascii="Times New Roman" w:hAnsi="Times New Roman" w:cs="Times New Roman"/>
          <w:color w:val="auto"/>
          <w:sz w:val="24"/>
          <w:szCs w:val="24"/>
          <w:highlight w:val="none"/>
          <w:lang w:val="en-US" w:eastAsia="zh-CN"/>
        </w:rPr>
        <w:t>和碳排放量</w:t>
      </w:r>
      <w:r>
        <w:rPr>
          <w:rFonts w:hint="default" w:ascii="Times New Roman" w:hAnsi="Times New Roman" w:eastAsia="宋体" w:cs="Times New Roman"/>
          <w:color w:val="auto"/>
          <w:sz w:val="24"/>
          <w:szCs w:val="24"/>
          <w:highlight w:val="none"/>
        </w:rPr>
        <w:t>。</w:t>
      </w:r>
    </w:p>
    <w:p w14:paraId="3120B98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6.1.5 监测计量数据采集原则</w:t>
      </w:r>
    </w:p>
    <w:p w14:paraId="14AB143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6.1.5.1</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企业应按要求设置监测计量采集点，定期进行计量数据采集，采集间隔不超过1个月。采集记录应完整、</w:t>
      </w:r>
      <w:r>
        <w:rPr>
          <w:rFonts w:hint="default" w:ascii="Times New Roman" w:hAnsi="Times New Roman" w:eastAsia="宋体" w:cs="Times New Roman"/>
          <w:color w:val="auto"/>
          <w:sz w:val="24"/>
          <w:szCs w:val="24"/>
          <w:highlight w:val="none"/>
          <w:lang w:eastAsia="zh-CN"/>
        </w:rPr>
        <w:t>真</w:t>
      </w:r>
      <w:r>
        <w:rPr>
          <w:rFonts w:hint="default" w:ascii="Times New Roman" w:hAnsi="Times New Roman" w:eastAsia="宋体" w:cs="Times New Roman"/>
          <w:color w:val="auto"/>
          <w:sz w:val="24"/>
          <w:szCs w:val="24"/>
          <w:highlight w:val="none"/>
        </w:rPr>
        <w:t>实、准确、可靠，并按规定的期限予以保存。保存期限</w:t>
      </w:r>
      <w:r>
        <w:rPr>
          <w:rFonts w:hint="default" w:ascii="Times New Roman" w:hAnsi="Times New Roman" w:cs="Times New Roman"/>
          <w:color w:val="auto"/>
          <w:sz w:val="24"/>
          <w:szCs w:val="24"/>
          <w:highlight w:val="none"/>
          <w:lang w:val="en-US" w:eastAsia="zh-CN"/>
        </w:rPr>
        <w:t>至少</w:t>
      </w:r>
      <w:r>
        <w:rPr>
          <w:rFonts w:hint="default" w:ascii="Times New Roman" w:hAnsi="Times New Roman" w:eastAsia="宋体" w:cs="Times New Roman"/>
          <w:color w:val="auto"/>
          <w:sz w:val="24"/>
          <w:szCs w:val="24"/>
          <w:highlight w:val="none"/>
        </w:rPr>
        <w:t xml:space="preserve"> </w:t>
      </w:r>
      <w:r>
        <w:rPr>
          <w:rFonts w:hint="eastAsia"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rPr>
        <w:t>年。</w:t>
      </w:r>
    </w:p>
    <w:p w14:paraId="1AF9939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6.1.5.2</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采集方式应满足政府相关部门监控管理的需要。</w:t>
      </w:r>
    </w:p>
    <w:p w14:paraId="6707D7A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6.1.6 </w:t>
      </w:r>
      <w:r>
        <w:rPr>
          <w:rFonts w:hint="default" w:ascii="Times New Roman" w:hAnsi="Times New Roman" w:eastAsia="宋体" w:cs="Times New Roman"/>
          <w:color w:val="auto"/>
          <w:sz w:val="24"/>
          <w:szCs w:val="24"/>
          <w:highlight w:val="none"/>
        </w:rPr>
        <w:t>监测数据处理</w:t>
      </w:r>
    </w:p>
    <w:p w14:paraId="409DC59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6.1.6.1 </w:t>
      </w:r>
      <w:r>
        <w:rPr>
          <w:rFonts w:hint="default" w:ascii="Times New Roman" w:hAnsi="Times New Roman" w:eastAsia="宋体" w:cs="Times New Roman"/>
          <w:color w:val="auto"/>
          <w:sz w:val="24"/>
          <w:szCs w:val="24"/>
          <w:highlight w:val="none"/>
        </w:rPr>
        <w:t>监测数据不得随意更改，并保证数据完整、真实、准确、可靠。</w:t>
      </w:r>
    </w:p>
    <w:p w14:paraId="50681E0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6.1.6.2 </w:t>
      </w:r>
      <w:r>
        <w:rPr>
          <w:rFonts w:hint="default" w:ascii="Times New Roman" w:hAnsi="Times New Roman" w:eastAsia="宋体" w:cs="Times New Roman"/>
          <w:color w:val="auto"/>
          <w:sz w:val="24"/>
          <w:szCs w:val="24"/>
          <w:highlight w:val="none"/>
        </w:rPr>
        <w:t>当因计量器具损坏或安装、拆卸期间造成监测数据不准或无法统计时，应制定相应的方案进行评估，并在数据统计报表中进行说明。评估方案包括评估方法、程序、结论、数据可靠性论证、评估人员和批准人员、日期等内容。</w:t>
      </w:r>
    </w:p>
    <w:p w14:paraId="14258C92">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auto"/>
          <w:sz w:val="24"/>
          <w:szCs w:val="24"/>
          <w:highlight w:val="none"/>
        </w:rPr>
      </w:pPr>
      <w:bookmarkStart w:id="34" w:name="_Toc3556"/>
      <w:bookmarkStart w:id="35" w:name="_Toc2694"/>
      <w:r>
        <w:rPr>
          <w:rFonts w:hint="default" w:ascii="Times New Roman" w:hAnsi="Times New Roman" w:eastAsia="宋体" w:cs="Times New Roman"/>
          <w:color w:val="auto"/>
          <w:sz w:val="24"/>
          <w:szCs w:val="24"/>
          <w:highlight w:val="none"/>
          <w:lang w:val="en-US" w:eastAsia="zh-CN"/>
        </w:rPr>
        <w:t xml:space="preserve">6.2 </w:t>
      </w:r>
      <w:r>
        <w:rPr>
          <w:rFonts w:hint="default" w:ascii="Times New Roman" w:hAnsi="Times New Roman" w:eastAsia="宋体" w:cs="Times New Roman"/>
          <w:color w:val="auto"/>
          <w:sz w:val="24"/>
          <w:szCs w:val="24"/>
          <w:highlight w:val="none"/>
        </w:rPr>
        <w:t>监测数据应用</w:t>
      </w:r>
      <w:bookmarkEnd w:id="34"/>
      <w:bookmarkEnd w:id="35"/>
    </w:p>
    <w:p w14:paraId="46E7166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6.2.1</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企业应将监测数据作为统计调查、分析的基础。</w:t>
      </w:r>
    </w:p>
    <w:p w14:paraId="43AD7FA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6.2.2</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企业制定年度节能、减排目标和实施方案，应以监测数据为基础，有针对性地采取计量管理或计量改造措施</w:t>
      </w:r>
      <w:r>
        <w:rPr>
          <w:rFonts w:hint="default" w:ascii="Times New Roman" w:hAnsi="Times New Roman" w:eastAsia="宋体" w:cs="Times New Roman"/>
          <w:color w:val="auto"/>
          <w:sz w:val="24"/>
          <w:szCs w:val="24"/>
          <w:highlight w:val="none"/>
          <w:lang w:eastAsia="zh-CN"/>
        </w:rPr>
        <w:t>。</w:t>
      </w:r>
    </w:p>
    <w:p w14:paraId="61028F6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6.2.3</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企业应将监测数据作为开展能源审计、能源平衡测试、能源效率限额对标、能效限定值、节能降耗改造等活动的依据，提高能源使用效率。</w:t>
      </w:r>
    </w:p>
    <w:p w14:paraId="527B21DE">
      <w:pPr>
        <w:pStyle w:val="7"/>
        <w:spacing w:before="260" w:after="40" w:line="360" w:lineRule="auto"/>
        <w:ind w:left="0"/>
        <w:outlineLvl w:val="0"/>
        <w:rPr>
          <w:rFonts w:hint="default" w:ascii="Times New Roman" w:hAnsi="Times New Roman" w:eastAsia="黑体" w:cs="Times New Roman"/>
          <w:b/>
          <w:color w:val="auto"/>
          <w:highlight w:val="none"/>
          <w:lang w:val="en-US" w:eastAsia="zh-CN"/>
        </w:rPr>
      </w:pPr>
      <w:bookmarkStart w:id="36" w:name="_Toc26532"/>
      <w:bookmarkStart w:id="37" w:name="_Toc29556"/>
      <w:r>
        <w:rPr>
          <w:rFonts w:hint="default" w:ascii="Times New Roman" w:hAnsi="Times New Roman" w:eastAsia="黑体" w:cs="Times New Roman"/>
          <w:b/>
          <w:color w:val="auto"/>
          <w:highlight w:val="none"/>
          <w:lang w:val="en-US" w:eastAsia="zh-CN"/>
        </w:rPr>
        <w:t>7 企业接入端系统要求</w:t>
      </w:r>
      <w:bookmarkEnd w:id="36"/>
      <w:bookmarkEnd w:id="37"/>
    </w:p>
    <w:p w14:paraId="763378C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7.1 </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两高</w:t>
      </w:r>
      <w:r>
        <w:rPr>
          <w:rFonts w:hint="eastAsia"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企业应建立接入端系统，通过计量器具、工控系统采集计量数据，将计量器具采集的用能、关键原材料、产量</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lang w:val="en-US" w:eastAsia="zh-CN"/>
        </w:rPr>
        <w:t>碳排放量</w:t>
      </w:r>
      <w:r>
        <w:rPr>
          <w:rFonts w:hint="default" w:ascii="Times New Roman" w:hAnsi="Times New Roman" w:eastAsia="宋体" w:cs="Times New Roman"/>
          <w:color w:val="auto"/>
          <w:sz w:val="24"/>
          <w:szCs w:val="24"/>
          <w:highlight w:val="none"/>
        </w:rPr>
        <w:t>等数据分类汇总。</w:t>
      </w:r>
    </w:p>
    <w:p w14:paraId="780110E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7.2 接入端系统应采取防篡改等必要措施或具有保障内部系统安全和数据安全的相应措</w:t>
      </w:r>
      <w:r>
        <w:rPr>
          <w:rFonts w:hint="default" w:ascii="Times New Roman" w:hAnsi="Times New Roman" w:eastAsia="宋体" w:cs="Times New Roman"/>
          <w:color w:val="auto"/>
          <w:sz w:val="24"/>
          <w:szCs w:val="24"/>
          <w:highlight w:val="none"/>
          <w:lang w:eastAsia="zh-CN"/>
        </w:rPr>
        <w:t>施。</w:t>
      </w:r>
    </w:p>
    <w:p w14:paraId="66DF8E9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p>
    <w:p w14:paraId="624E0C6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highlight w:val="none"/>
          <w:lang w:eastAsia="zh-CN"/>
        </w:rPr>
      </w:pPr>
    </w:p>
    <w:p w14:paraId="65C97FAF">
      <w:pPr>
        <w:rPr>
          <w:rFonts w:hint="default" w:ascii="Times New Roman" w:hAnsi="Times New Roman" w:cs="Times New Roman"/>
          <w:color w:val="auto"/>
          <w:highlight w:val="none"/>
        </w:rPr>
        <w:sectPr>
          <w:footerReference r:id="rId5" w:type="default"/>
          <w:pgSz w:w="11910" w:h="16840"/>
          <w:pgMar w:top="1660" w:right="1420" w:bottom="1340" w:left="1200" w:header="1135" w:footer="1141" w:gutter="0"/>
          <w:pgBorders>
            <w:top w:val="none" w:sz="0" w:space="0"/>
            <w:left w:val="none" w:sz="0" w:space="0"/>
            <w:bottom w:val="none" w:sz="0" w:space="0"/>
            <w:right w:val="none" w:sz="0" w:space="0"/>
          </w:pgBorders>
          <w:pgNumType w:fmt="decimal" w:start="1"/>
          <w:cols w:space="720" w:num="1"/>
          <w:formProt w:val="0"/>
        </w:sectPr>
      </w:pPr>
    </w:p>
    <w:p w14:paraId="28F46303">
      <w:pPr>
        <w:rPr>
          <w:rFonts w:hint="default" w:ascii="Times New Roman" w:hAnsi="Times New Roman" w:cs="Times New Roman"/>
          <w:color w:val="auto"/>
          <w:highlight w:val="none"/>
          <w:lang w:val="en-US" w:eastAsia="zh-CN"/>
        </w:rPr>
      </w:pPr>
    </w:p>
    <w:p w14:paraId="7D1A97B2">
      <w:pPr>
        <w:pStyle w:val="7"/>
        <w:spacing w:before="260" w:after="40" w:line="360" w:lineRule="auto"/>
        <w:ind w:left="0"/>
        <w:outlineLvl w:val="0"/>
        <w:rPr>
          <w:rFonts w:hint="default" w:ascii="Times New Roman" w:hAnsi="Times New Roman" w:eastAsia="黑体" w:cs="Times New Roman"/>
          <w:b/>
          <w:color w:val="auto"/>
          <w:highlight w:val="none"/>
          <w:lang w:val="en-US" w:eastAsia="zh-CN"/>
        </w:rPr>
      </w:pPr>
      <w:bookmarkStart w:id="38" w:name="_Toc8236"/>
      <w:bookmarkStart w:id="39" w:name="_Toc30409"/>
      <w:r>
        <w:rPr>
          <w:rFonts w:hint="default" w:ascii="Times New Roman" w:hAnsi="Times New Roman" w:eastAsia="黑体" w:cs="Times New Roman"/>
          <w:b/>
          <w:color w:val="auto"/>
          <w:highlight w:val="none"/>
          <w:lang w:val="en-US" w:eastAsia="zh-CN"/>
        </w:rPr>
        <w:t>附录A</w:t>
      </w:r>
      <w:bookmarkEnd w:id="38"/>
      <w:bookmarkEnd w:id="39"/>
    </w:p>
    <w:p w14:paraId="0AB38C0D">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outlineLvl w:val="9"/>
        <w:rPr>
          <w:rFonts w:hint="default" w:ascii="Times New Roman" w:hAnsi="Times New Roman" w:cs="Times New Roman"/>
          <w:color w:val="auto"/>
          <w:sz w:val="36"/>
          <w:szCs w:val="36"/>
          <w:highlight w:val="none"/>
          <w:lang w:val="en-US" w:eastAsia="zh-CN"/>
        </w:rPr>
      </w:pPr>
      <w:r>
        <w:rPr>
          <w:rFonts w:hint="eastAsia" w:cs="Times New Roman"/>
          <w:color w:val="auto"/>
          <w:sz w:val="36"/>
          <w:szCs w:val="36"/>
          <w:highlight w:val="none"/>
          <w:lang w:val="en-US" w:eastAsia="zh-CN"/>
        </w:rPr>
        <w:t>“</w:t>
      </w:r>
      <w:r>
        <w:rPr>
          <w:rFonts w:hint="default" w:ascii="Times New Roman" w:hAnsi="Times New Roman" w:cs="Times New Roman"/>
          <w:color w:val="auto"/>
          <w:sz w:val="36"/>
          <w:szCs w:val="36"/>
          <w:highlight w:val="none"/>
          <w:lang w:val="en-US" w:eastAsia="zh-CN"/>
        </w:rPr>
        <w:t>两高</w:t>
      </w:r>
      <w:r>
        <w:rPr>
          <w:rFonts w:hint="eastAsia" w:cs="Times New Roman"/>
          <w:color w:val="auto"/>
          <w:sz w:val="36"/>
          <w:szCs w:val="36"/>
          <w:highlight w:val="none"/>
          <w:lang w:val="en-US" w:eastAsia="zh-CN"/>
        </w:rPr>
        <w:t>”</w:t>
      </w:r>
      <w:r>
        <w:rPr>
          <w:rFonts w:hint="default" w:ascii="Times New Roman" w:hAnsi="Times New Roman" w:cs="Times New Roman"/>
          <w:color w:val="auto"/>
          <w:sz w:val="36"/>
          <w:szCs w:val="36"/>
          <w:highlight w:val="none"/>
          <w:lang w:val="en-US" w:eastAsia="zh-CN"/>
        </w:rPr>
        <w:t>企业和主要生产装置关键数据溯源信息表</w:t>
      </w:r>
    </w:p>
    <w:p w14:paraId="3C9CB305">
      <w:pPr>
        <w:jc w:val="center"/>
        <w:outlineLvl w:val="9"/>
        <w:rPr>
          <w:rFonts w:hint="default" w:ascii="Times New Roman" w:hAnsi="Times New Roman" w:cs="Times New Roman"/>
          <w:color w:val="auto"/>
          <w:highlight w:val="none"/>
          <w:lang w:val="en-US" w:eastAsia="zh-CN"/>
        </w:rPr>
      </w:pPr>
    </w:p>
    <w:p w14:paraId="262FE105">
      <w:pPr>
        <w:jc w:val="left"/>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企业名称：</w:t>
      </w:r>
    </w:p>
    <w:p w14:paraId="208A29EB">
      <w:pPr>
        <w:jc w:val="left"/>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主要生产装置名称：</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1333"/>
        <w:gridCol w:w="1922"/>
        <w:gridCol w:w="1477"/>
        <w:gridCol w:w="1477"/>
        <w:gridCol w:w="1477"/>
        <w:gridCol w:w="1477"/>
        <w:gridCol w:w="1477"/>
        <w:gridCol w:w="1482"/>
        <w:gridCol w:w="1217"/>
      </w:tblGrid>
      <w:tr w14:paraId="725A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restart"/>
            <w:vAlign w:val="center"/>
          </w:tcPr>
          <w:p w14:paraId="28FCC5D8">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序号</w:t>
            </w:r>
          </w:p>
        </w:tc>
        <w:tc>
          <w:tcPr>
            <w:tcW w:w="1333" w:type="dxa"/>
            <w:vMerge w:val="restart"/>
            <w:vAlign w:val="center"/>
          </w:tcPr>
          <w:p w14:paraId="1F4C9F43">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关键数据</w:t>
            </w:r>
          </w:p>
        </w:tc>
        <w:tc>
          <w:tcPr>
            <w:tcW w:w="10789" w:type="dxa"/>
            <w:gridSpan w:val="7"/>
            <w:vAlign w:val="center"/>
          </w:tcPr>
          <w:p w14:paraId="3C0072FB">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数据来源</w:t>
            </w:r>
          </w:p>
        </w:tc>
        <w:tc>
          <w:tcPr>
            <w:tcW w:w="1217" w:type="dxa"/>
            <w:vAlign w:val="center"/>
          </w:tcPr>
          <w:p w14:paraId="766F3D6E">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备注</w:t>
            </w:r>
          </w:p>
        </w:tc>
      </w:tr>
      <w:tr w14:paraId="334E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14:paraId="4E4A8B2B">
            <w:pPr>
              <w:jc w:val="center"/>
              <w:rPr>
                <w:rFonts w:hint="default" w:ascii="Times New Roman" w:hAnsi="Times New Roman" w:cs="Times New Roman"/>
                <w:color w:val="auto"/>
                <w:highlight w:val="none"/>
                <w:vertAlign w:val="baseline"/>
                <w:lang w:val="en-US" w:eastAsia="zh-CN"/>
              </w:rPr>
            </w:pPr>
          </w:p>
        </w:tc>
        <w:tc>
          <w:tcPr>
            <w:tcW w:w="1333" w:type="dxa"/>
            <w:vMerge w:val="continue"/>
            <w:vAlign w:val="center"/>
          </w:tcPr>
          <w:p w14:paraId="14729C0A">
            <w:pPr>
              <w:jc w:val="center"/>
              <w:rPr>
                <w:rFonts w:hint="default" w:ascii="Times New Roman" w:hAnsi="Times New Roman" w:cs="Times New Roman"/>
                <w:color w:val="auto"/>
                <w:highlight w:val="none"/>
                <w:vertAlign w:val="baseline"/>
                <w:lang w:val="en-US" w:eastAsia="zh-CN"/>
              </w:rPr>
            </w:pPr>
          </w:p>
        </w:tc>
        <w:tc>
          <w:tcPr>
            <w:tcW w:w="1922" w:type="dxa"/>
            <w:vAlign w:val="center"/>
          </w:tcPr>
          <w:p w14:paraId="7CBD1A43">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计量器具名称</w:t>
            </w:r>
          </w:p>
        </w:tc>
        <w:tc>
          <w:tcPr>
            <w:tcW w:w="1477" w:type="dxa"/>
            <w:vAlign w:val="center"/>
          </w:tcPr>
          <w:p w14:paraId="60D54417">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型号规格</w:t>
            </w:r>
          </w:p>
        </w:tc>
        <w:tc>
          <w:tcPr>
            <w:tcW w:w="1477" w:type="dxa"/>
            <w:vAlign w:val="center"/>
          </w:tcPr>
          <w:p w14:paraId="5D402B5A">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编号</w:t>
            </w:r>
          </w:p>
        </w:tc>
        <w:tc>
          <w:tcPr>
            <w:tcW w:w="1477" w:type="dxa"/>
            <w:vAlign w:val="center"/>
          </w:tcPr>
          <w:p w14:paraId="68EA8BD1">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准确度等级</w:t>
            </w:r>
          </w:p>
        </w:tc>
        <w:tc>
          <w:tcPr>
            <w:tcW w:w="1477" w:type="dxa"/>
            <w:vAlign w:val="center"/>
          </w:tcPr>
          <w:p w14:paraId="7CFED210">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安装位置</w:t>
            </w:r>
          </w:p>
        </w:tc>
        <w:tc>
          <w:tcPr>
            <w:tcW w:w="1477" w:type="dxa"/>
            <w:vAlign w:val="center"/>
          </w:tcPr>
          <w:p w14:paraId="7930692D">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是否有效</w:t>
            </w:r>
          </w:p>
          <w:p w14:paraId="0145FB70">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溯源</w:t>
            </w:r>
          </w:p>
        </w:tc>
        <w:tc>
          <w:tcPr>
            <w:tcW w:w="1482" w:type="dxa"/>
            <w:vAlign w:val="center"/>
          </w:tcPr>
          <w:p w14:paraId="7AE1BDBB">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溯源方式</w:t>
            </w:r>
          </w:p>
        </w:tc>
        <w:tc>
          <w:tcPr>
            <w:tcW w:w="1217" w:type="dxa"/>
            <w:vAlign w:val="center"/>
          </w:tcPr>
          <w:p w14:paraId="6349585E">
            <w:pPr>
              <w:jc w:val="center"/>
              <w:rPr>
                <w:rFonts w:hint="default" w:ascii="Times New Roman" w:hAnsi="Times New Roman" w:cs="Times New Roman"/>
                <w:color w:val="auto"/>
                <w:highlight w:val="none"/>
                <w:vertAlign w:val="baseline"/>
                <w:lang w:val="en-US" w:eastAsia="zh-CN"/>
              </w:rPr>
            </w:pPr>
          </w:p>
        </w:tc>
      </w:tr>
      <w:tr w14:paraId="0E7A8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restart"/>
            <w:vAlign w:val="center"/>
          </w:tcPr>
          <w:p w14:paraId="1994980B">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1</w:t>
            </w:r>
          </w:p>
        </w:tc>
        <w:tc>
          <w:tcPr>
            <w:tcW w:w="1333" w:type="dxa"/>
            <w:vMerge w:val="restart"/>
            <w:vAlign w:val="center"/>
          </w:tcPr>
          <w:p w14:paraId="1ECBBD41">
            <w:pPr>
              <w:jc w:val="center"/>
              <w:rPr>
                <w:rFonts w:hint="default" w:ascii="Times New Roman" w:hAnsi="Times New Roman" w:cs="Times New Roman"/>
                <w:color w:val="auto"/>
                <w:highlight w:val="none"/>
                <w:vertAlign w:val="baseline"/>
                <w:lang w:val="en-US" w:eastAsia="zh-CN"/>
              </w:rPr>
            </w:pPr>
          </w:p>
        </w:tc>
        <w:tc>
          <w:tcPr>
            <w:tcW w:w="1922" w:type="dxa"/>
            <w:vAlign w:val="center"/>
          </w:tcPr>
          <w:p w14:paraId="01183E73">
            <w:pPr>
              <w:jc w:val="left"/>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计量器具1：</w:t>
            </w:r>
          </w:p>
        </w:tc>
        <w:tc>
          <w:tcPr>
            <w:tcW w:w="1477" w:type="dxa"/>
            <w:vAlign w:val="center"/>
          </w:tcPr>
          <w:p w14:paraId="770E3A4E">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2B8782E9">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48BC8E21">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46938397">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4BEDA818">
            <w:pPr>
              <w:jc w:val="center"/>
              <w:rPr>
                <w:rFonts w:hint="default" w:ascii="Times New Roman" w:hAnsi="Times New Roman" w:cs="Times New Roman"/>
                <w:color w:val="auto"/>
                <w:highlight w:val="none"/>
                <w:vertAlign w:val="baseline"/>
                <w:lang w:val="en-US" w:eastAsia="zh-CN"/>
              </w:rPr>
            </w:pPr>
          </w:p>
        </w:tc>
        <w:tc>
          <w:tcPr>
            <w:tcW w:w="1482" w:type="dxa"/>
            <w:vAlign w:val="center"/>
          </w:tcPr>
          <w:p w14:paraId="2E23529F">
            <w:pPr>
              <w:jc w:val="center"/>
              <w:rPr>
                <w:rFonts w:hint="default" w:ascii="Times New Roman" w:hAnsi="Times New Roman" w:cs="Times New Roman"/>
                <w:color w:val="auto"/>
                <w:highlight w:val="none"/>
                <w:vertAlign w:val="baseline"/>
                <w:lang w:val="en-US" w:eastAsia="zh-CN"/>
              </w:rPr>
            </w:pPr>
          </w:p>
        </w:tc>
        <w:tc>
          <w:tcPr>
            <w:tcW w:w="1217" w:type="dxa"/>
            <w:vAlign w:val="center"/>
          </w:tcPr>
          <w:p w14:paraId="6222361F">
            <w:pPr>
              <w:jc w:val="center"/>
              <w:rPr>
                <w:rFonts w:hint="default" w:ascii="Times New Roman" w:hAnsi="Times New Roman" w:cs="Times New Roman"/>
                <w:color w:val="auto"/>
                <w:highlight w:val="none"/>
                <w:vertAlign w:val="baseline"/>
                <w:lang w:val="en-US" w:eastAsia="zh-CN"/>
              </w:rPr>
            </w:pPr>
          </w:p>
        </w:tc>
      </w:tr>
      <w:tr w14:paraId="5073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14:paraId="7E97B124">
            <w:pPr>
              <w:jc w:val="center"/>
              <w:rPr>
                <w:rFonts w:hint="default" w:ascii="Times New Roman" w:hAnsi="Times New Roman" w:cs="Times New Roman"/>
                <w:color w:val="auto"/>
                <w:highlight w:val="none"/>
                <w:vertAlign w:val="baseline"/>
                <w:lang w:val="en-US" w:eastAsia="zh-CN"/>
              </w:rPr>
            </w:pPr>
          </w:p>
        </w:tc>
        <w:tc>
          <w:tcPr>
            <w:tcW w:w="1333" w:type="dxa"/>
            <w:vMerge w:val="continue"/>
            <w:vAlign w:val="center"/>
          </w:tcPr>
          <w:p w14:paraId="77E148A4">
            <w:pPr>
              <w:jc w:val="center"/>
              <w:rPr>
                <w:rFonts w:hint="default" w:ascii="Times New Roman" w:hAnsi="Times New Roman" w:cs="Times New Roman"/>
                <w:color w:val="auto"/>
                <w:highlight w:val="none"/>
                <w:vertAlign w:val="baseline"/>
                <w:lang w:val="en-US" w:eastAsia="zh-CN"/>
              </w:rPr>
            </w:pPr>
          </w:p>
        </w:tc>
        <w:tc>
          <w:tcPr>
            <w:tcW w:w="1922" w:type="dxa"/>
            <w:vAlign w:val="center"/>
          </w:tcPr>
          <w:p w14:paraId="3BA7FAE3">
            <w:pPr>
              <w:jc w:val="left"/>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计量器具2：</w:t>
            </w:r>
          </w:p>
        </w:tc>
        <w:tc>
          <w:tcPr>
            <w:tcW w:w="1477" w:type="dxa"/>
            <w:vAlign w:val="center"/>
          </w:tcPr>
          <w:p w14:paraId="414C8A40">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3F4D35FF">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23BDAC68">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3C4E8F7C">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6997402E">
            <w:pPr>
              <w:jc w:val="center"/>
              <w:rPr>
                <w:rFonts w:hint="default" w:ascii="Times New Roman" w:hAnsi="Times New Roman" w:cs="Times New Roman"/>
                <w:color w:val="auto"/>
                <w:highlight w:val="none"/>
                <w:vertAlign w:val="baseline"/>
                <w:lang w:val="en-US" w:eastAsia="zh-CN"/>
              </w:rPr>
            </w:pPr>
          </w:p>
        </w:tc>
        <w:tc>
          <w:tcPr>
            <w:tcW w:w="1482" w:type="dxa"/>
            <w:vAlign w:val="center"/>
          </w:tcPr>
          <w:p w14:paraId="5E04BD7D">
            <w:pPr>
              <w:jc w:val="center"/>
              <w:rPr>
                <w:rFonts w:hint="default" w:ascii="Times New Roman" w:hAnsi="Times New Roman" w:cs="Times New Roman"/>
                <w:color w:val="auto"/>
                <w:highlight w:val="none"/>
                <w:vertAlign w:val="baseline"/>
                <w:lang w:val="en-US" w:eastAsia="zh-CN"/>
              </w:rPr>
            </w:pPr>
          </w:p>
        </w:tc>
        <w:tc>
          <w:tcPr>
            <w:tcW w:w="1217" w:type="dxa"/>
            <w:vAlign w:val="center"/>
          </w:tcPr>
          <w:p w14:paraId="399C21F0">
            <w:pPr>
              <w:jc w:val="center"/>
              <w:rPr>
                <w:rFonts w:hint="default" w:ascii="Times New Roman" w:hAnsi="Times New Roman" w:cs="Times New Roman"/>
                <w:color w:val="auto"/>
                <w:highlight w:val="none"/>
                <w:vertAlign w:val="baseline"/>
                <w:lang w:val="en-US" w:eastAsia="zh-CN"/>
              </w:rPr>
            </w:pPr>
          </w:p>
        </w:tc>
      </w:tr>
      <w:tr w14:paraId="4E7D6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14:paraId="79EAA7C5">
            <w:pPr>
              <w:jc w:val="center"/>
              <w:rPr>
                <w:rFonts w:hint="default" w:ascii="Times New Roman" w:hAnsi="Times New Roman" w:cs="Times New Roman"/>
                <w:color w:val="auto"/>
                <w:highlight w:val="none"/>
                <w:vertAlign w:val="baseline"/>
                <w:lang w:val="en-US" w:eastAsia="zh-CN"/>
              </w:rPr>
            </w:pPr>
          </w:p>
        </w:tc>
        <w:tc>
          <w:tcPr>
            <w:tcW w:w="1333" w:type="dxa"/>
            <w:vMerge w:val="continue"/>
            <w:vAlign w:val="center"/>
          </w:tcPr>
          <w:p w14:paraId="7B201F50">
            <w:pPr>
              <w:jc w:val="center"/>
              <w:rPr>
                <w:rFonts w:hint="default" w:ascii="Times New Roman" w:hAnsi="Times New Roman" w:cs="Times New Roman"/>
                <w:color w:val="auto"/>
                <w:highlight w:val="none"/>
                <w:vertAlign w:val="baseline"/>
                <w:lang w:val="en-US" w:eastAsia="zh-CN"/>
              </w:rPr>
            </w:pPr>
          </w:p>
        </w:tc>
        <w:tc>
          <w:tcPr>
            <w:tcW w:w="1922" w:type="dxa"/>
            <w:vAlign w:val="center"/>
          </w:tcPr>
          <w:p w14:paraId="62FABFE0">
            <w:pPr>
              <w:jc w:val="left"/>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计量器具3：</w:t>
            </w:r>
          </w:p>
        </w:tc>
        <w:tc>
          <w:tcPr>
            <w:tcW w:w="1477" w:type="dxa"/>
            <w:vAlign w:val="center"/>
          </w:tcPr>
          <w:p w14:paraId="3CEA2F37">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2D6BFA30">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484A6F6E">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77309121">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2B1884F4">
            <w:pPr>
              <w:jc w:val="center"/>
              <w:rPr>
                <w:rFonts w:hint="default" w:ascii="Times New Roman" w:hAnsi="Times New Roman" w:cs="Times New Roman"/>
                <w:color w:val="auto"/>
                <w:highlight w:val="none"/>
                <w:vertAlign w:val="baseline"/>
                <w:lang w:val="en-US" w:eastAsia="zh-CN"/>
              </w:rPr>
            </w:pPr>
          </w:p>
        </w:tc>
        <w:tc>
          <w:tcPr>
            <w:tcW w:w="1482" w:type="dxa"/>
            <w:vAlign w:val="center"/>
          </w:tcPr>
          <w:p w14:paraId="28141181">
            <w:pPr>
              <w:jc w:val="center"/>
              <w:rPr>
                <w:rFonts w:hint="default" w:ascii="Times New Roman" w:hAnsi="Times New Roman" w:cs="Times New Roman"/>
                <w:color w:val="auto"/>
                <w:highlight w:val="none"/>
                <w:vertAlign w:val="baseline"/>
                <w:lang w:val="en-US" w:eastAsia="zh-CN"/>
              </w:rPr>
            </w:pPr>
          </w:p>
        </w:tc>
        <w:tc>
          <w:tcPr>
            <w:tcW w:w="1217" w:type="dxa"/>
            <w:vAlign w:val="center"/>
          </w:tcPr>
          <w:p w14:paraId="3F12099E">
            <w:pPr>
              <w:jc w:val="center"/>
              <w:rPr>
                <w:rFonts w:hint="default" w:ascii="Times New Roman" w:hAnsi="Times New Roman" w:cs="Times New Roman"/>
                <w:color w:val="auto"/>
                <w:highlight w:val="none"/>
                <w:vertAlign w:val="baseline"/>
                <w:lang w:val="en-US" w:eastAsia="zh-CN"/>
              </w:rPr>
            </w:pPr>
          </w:p>
        </w:tc>
      </w:tr>
      <w:tr w14:paraId="6884B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14:paraId="7F3D7105">
            <w:pPr>
              <w:jc w:val="center"/>
              <w:rPr>
                <w:rFonts w:hint="default" w:ascii="Times New Roman" w:hAnsi="Times New Roman" w:cs="Times New Roman"/>
                <w:color w:val="auto"/>
                <w:highlight w:val="none"/>
                <w:vertAlign w:val="baseline"/>
                <w:lang w:val="en-US" w:eastAsia="zh-CN"/>
              </w:rPr>
            </w:pPr>
          </w:p>
        </w:tc>
        <w:tc>
          <w:tcPr>
            <w:tcW w:w="1333" w:type="dxa"/>
            <w:vMerge w:val="continue"/>
            <w:vAlign w:val="center"/>
          </w:tcPr>
          <w:p w14:paraId="777103DE">
            <w:pPr>
              <w:jc w:val="center"/>
              <w:rPr>
                <w:rFonts w:hint="default" w:ascii="Times New Roman" w:hAnsi="Times New Roman" w:cs="Times New Roman"/>
                <w:color w:val="auto"/>
                <w:highlight w:val="none"/>
                <w:vertAlign w:val="baseline"/>
                <w:lang w:val="en-US" w:eastAsia="zh-CN"/>
              </w:rPr>
            </w:pPr>
          </w:p>
        </w:tc>
        <w:tc>
          <w:tcPr>
            <w:tcW w:w="1922" w:type="dxa"/>
            <w:vAlign w:val="center"/>
          </w:tcPr>
          <w:p w14:paraId="3377A7B9">
            <w:pPr>
              <w:jc w:val="left"/>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计量器具4：</w:t>
            </w:r>
          </w:p>
        </w:tc>
        <w:tc>
          <w:tcPr>
            <w:tcW w:w="1477" w:type="dxa"/>
            <w:vAlign w:val="center"/>
          </w:tcPr>
          <w:p w14:paraId="6AFB772A">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64C94653">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4CAC7F29">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68E10B27">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1F021BEB">
            <w:pPr>
              <w:jc w:val="center"/>
              <w:rPr>
                <w:rFonts w:hint="default" w:ascii="Times New Roman" w:hAnsi="Times New Roman" w:cs="Times New Roman"/>
                <w:color w:val="auto"/>
                <w:highlight w:val="none"/>
                <w:vertAlign w:val="baseline"/>
                <w:lang w:val="en-US" w:eastAsia="zh-CN"/>
              </w:rPr>
            </w:pPr>
          </w:p>
        </w:tc>
        <w:tc>
          <w:tcPr>
            <w:tcW w:w="1482" w:type="dxa"/>
            <w:vAlign w:val="center"/>
          </w:tcPr>
          <w:p w14:paraId="6BCB412E">
            <w:pPr>
              <w:jc w:val="center"/>
              <w:rPr>
                <w:rFonts w:hint="default" w:ascii="Times New Roman" w:hAnsi="Times New Roman" w:cs="Times New Roman"/>
                <w:color w:val="auto"/>
                <w:highlight w:val="none"/>
                <w:vertAlign w:val="baseline"/>
                <w:lang w:val="en-US" w:eastAsia="zh-CN"/>
              </w:rPr>
            </w:pPr>
          </w:p>
        </w:tc>
        <w:tc>
          <w:tcPr>
            <w:tcW w:w="1217" w:type="dxa"/>
            <w:vAlign w:val="center"/>
          </w:tcPr>
          <w:p w14:paraId="3406EBC0">
            <w:pPr>
              <w:jc w:val="center"/>
              <w:rPr>
                <w:rFonts w:hint="default" w:ascii="Times New Roman" w:hAnsi="Times New Roman" w:cs="Times New Roman"/>
                <w:color w:val="auto"/>
                <w:highlight w:val="none"/>
                <w:vertAlign w:val="baseline"/>
                <w:lang w:val="en-US" w:eastAsia="zh-CN"/>
              </w:rPr>
            </w:pPr>
          </w:p>
        </w:tc>
      </w:tr>
      <w:tr w14:paraId="2BED4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14:paraId="2D516CBF">
            <w:pPr>
              <w:jc w:val="center"/>
              <w:rPr>
                <w:rFonts w:hint="default" w:ascii="Times New Roman" w:hAnsi="Times New Roman" w:cs="Times New Roman"/>
                <w:color w:val="auto"/>
                <w:highlight w:val="none"/>
                <w:vertAlign w:val="baseline"/>
                <w:lang w:val="en-US" w:eastAsia="zh-CN"/>
              </w:rPr>
            </w:pPr>
          </w:p>
        </w:tc>
        <w:tc>
          <w:tcPr>
            <w:tcW w:w="1333" w:type="dxa"/>
            <w:vMerge w:val="continue"/>
            <w:vAlign w:val="center"/>
          </w:tcPr>
          <w:p w14:paraId="1667C7E9">
            <w:pPr>
              <w:jc w:val="center"/>
              <w:rPr>
                <w:rFonts w:hint="default" w:ascii="Times New Roman" w:hAnsi="Times New Roman" w:cs="Times New Roman"/>
                <w:color w:val="auto"/>
                <w:highlight w:val="none"/>
                <w:vertAlign w:val="baseline"/>
                <w:lang w:val="en-US" w:eastAsia="zh-CN"/>
              </w:rPr>
            </w:pPr>
          </w:p>
        </w:tc>
        <w:tc>
          <w:tcPr>
            <w:tcW w:w="1922" w:type="dxa"/>
            <w:vAlign w:val="center"/>
          </w:tcPr>
          <w:p w14:paraId="5BC602B6">
            <w:pPr>
              <w:jc w:val="left"/>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w:t>
            </w:r>
          </w:p>
        </w:tc>
        <w:tc>
          <w:tcPr>
            <w:tcW w:w="1477" w:type="dxa"/>
            <w:vAlign w:val="center"/>
          </w:tcPr>
          <w:p w14:paraId="79FB583D">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794133FF">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5EAE61D4">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515EB2E3">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2D101650">
            <w:pPr>
              <w:jc w:val="center"/>
              <w:rPr>
                <w:rFonts w:hint="default" w:ascii="Times New Roman" w:hAnsi="Times New Roman" w:cs="Times New Roman"/>
                <w:color w:val="auto"/>
                <w:highlight w:val="none"/>
                <w:vertAlign w:val="baseline"/>
                <w:lang w:val="en-US" w:eastAsia="zh-CN"/>
              </w:rPr>
            </w:pPr>
          </w:p>
        </w:tc>
        <w:tc>
          <w:tcPr>
            <w:tcW w:w="1482" w:type="dxa"/>
            <w:vAlign w:val="center"/>
          </w:tcPr>
          <w:p w14:paraId="02C1A40A">
            <w:pPr>
              <w:jc w:val="center"/>
              <w:rPr>
                <w:rFonts w:hint="default" w:ascii="Times New Roman" w:hAnsi="Times New Roman" w:cs="Times New Roman"/>
                <w:color w:val="auto"/>
                <w:highlight w:val="none"/>
                <w:vertAlign w:val="baseline"/>
                <w:lang w:val="en-US" w:eastAsia="zh-CN"/>
              </w:rPr>
            </w:pPr>
          </w:p>
        </w:tc>
        <w:tc>
          <w:tcPr>
            <w:tcW w:w="1217" w:type="dxa"/>
            <w:vAlign w:val="center"/>
          </w:tcPr>
          <w:p w14:paraId="3CD224D7">
            <w:pPr>
              <w:jc w:val="center"/>
              <w:rPr>
                <w:rFonts w:hint="default" w:ascii="Times New Roman" w:hAnsi="Times New Roman" w:cs="Times New Roman"/>
                <w:color w:val="auto"/>
                <w:highlight w:val="none"/>
                <w:vertAlign w:val="baseline"/>
                <w:lang w:val="en-US" w:eastAsia="zh-CN"/>
              </w:rPr>
            </w:pPr>
          </w:p>
        </w:tc>
      </w:tr>
      <w:tr w14:paraId="29AC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restart"/>
            <w:vAlign w:val="center"/>
          </w:tcPr>
          <w:p w14:paraId="3CE66E05">
            <w:pPr>
              <w:jc w:val="center"/>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2</w:t>
            </w:r>
          </w:p>
        </w:tc>
        <w:tc>
          <w:tcPr>
            <w:tcW w:w="1333" w:type="dxa"/>
            <w:vMerge w:val="restart"/>
            <w:vAlign w:val="center"/>
          </w:tcPr>
          <w:p w14:paraId="53632806">
            <w:pPr>
              <w:jc w:val="center"/>
              <w:rPr>
                <w:rFonts w:hint="default" w:ascii="Times New Roman" w:hAnsi="Times New Roman" w:cs="Times New Roman"/>
                <w:color w:val="auto"/>
                <w:highlight w:val="none"/>
                <w:vertAlign w:val="baseline"/>
                <w:lang w:val="en-US" w:eastAsia="zh-CN"/>
              </w:rPr>
            </w:pPr>
          </w:p>
        </w:tc>
        <w:tc>
          <w:tcPr>
            <w:tcW w:w="1922" w:type="dxa"/>
            <w:vAlign w:val="center"/>
          </w:tcPr>
          <w:p w14:paraId="51013366">
            <w:pPr>
              <w:jc w:val="left"/>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计量器具1：</w:t>
            </w:r>
          </w:p>
        </w:tc>
        <w:tc>
          <w:tcPr>
            <w:tcW w:w="1477" w:type="dxa"/>
            <w:vAlign w:val="center"/>
          </w:tcPr>
          <w:p w14:paraId="6C732A62">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31C8E174">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08FCA7C6">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0F168A80">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163D8907">
            <w:pPr>
              <w:jc w:val="center"/>
              <w:rPr>
                <w:rFonts w:hint="default" w:ascii="Times New Roman" w:hAnsi="Times New Roman" w:cs="Times New Roman"/>
                <w:color w:val="auto"/>
                <w:highlight w:val="none"/>
                <w:vertAlign w:val="baseline"/>
                <w:lang w:val="en-US" w:eastAsia="zh-CN"/>
              </w:rPr>
            </w:pPr>
          </w:p>
        </w:tc>
        <w:tc>
          <w:tcPr>
            <w:tcW w:w="1482" w:type="dxa"/>
            <w:vAlign w:val="center"/>
          </w:tcPr>
          <w:p w14:paraId="5690E5AA">
            <w:pPr>
              <w:jc w:val="center"/>
              <w:rPr>
                <w:rFonts w:hint="default" w:ascii="Times New Roman" w:hAnsi="Times New Roman" w:cs="Times New Roman"/>
                <w:color w:val="auto"/>
                <w:highlight w:val="none"/>
                <w:vertAlign w:val="baseline"/>
                <w:lang w:val="en-US" w:eastAsia="zh-CN"/>
              </w:rPr>
            </w:pPr>
          </w:p>
        </w:tc>
        <w:tc>
          <w:tcPr>
            <w:tcW w:w="1217" w:type="dxa"/>
            <w:vAlign w:val="center"/>
          </w:tcPr>
          <w:p w14:paraId="0DB92528">
            <w:pPr>
              <w:jc w:val="center"/>
              <w:rPr>
                <w:rFonts w:hint="default" w:ascii="Times New Roman" w:hAnsi="Times New Roman" w:cs="Times New Roman"/>
                <w:color w:val="auto"/>
                <w:highlight w:val="none"/>
                <w:vertAlign w:val="baseline"/>
                <w:lang w:val="en-US" w:eastAsia="zh-CN"/>
              </w:rPr>
            </w:pPr>
          </w:p>
        </w:tc>
      </w:tr>
      <w:tr w14:paraId="6CDB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14:paraId="7BA14E0C">
            <w:pPr>
              <w:jc w:val="center"/>
              <w:rPr>
                <w:rFonts w:hint="default" w:ascii="Times New Roman" w:hAnsi="Times New Roman" w:cs="Times New Roman"/>
                <w:color w:val="auto"/>
                <w:highlight w:val="none"/>
                <w:vertAlign w:val="baseline"/>
                <w:lang w:val="en-US" w:eastAsia="zh-CN"/>
              </w:rPr>
            </w:pPr>
          </w:p>
        </w:tc>
        <w:tc>
          <w:tcPr>
            <w:tcW w:w="1333" w:type="dxa"/>
            <w:vMerge w:val="continue"/>
            <w:vAlign w:val="center"/>
          </w:tcPr>
          <w:p w14:paraId="6A5529FD">
            <w:pPr>
              <w:jc w:val="center"/>
              <w:rPr>
                <w:rFonts w:hint="default" w:ascii="Times New Roman" w:hAnsi="Times New Roman" w:cs="Times New Roman"/>
                <w:color w:val="auto"/>
                <w:highlight w:val="none"/>
                <w:vertAlign w:val="baseline"/>
                <w:lang w:val="en-US" w:eastAsia="zh-CN"/>
              </w:rPr>
            </w:pPr>
          </w:p>
        </w:tc>
        <w:tc>
          <w:tcPr>
            <w:tcW w:w="1922" w:type="dxa"/>
            <w:vAlign w:val="center"/>
          </w:tcPr>
          <w:p w14:paraId="3B1CC5AE">
            <w:pPr>
              <w:jc w:val="left"/>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计量器具2：</w:t>
            </w:r>
          </w:p>
        </w:tc>
        <w:tc>
          <w:tcPr>
            <w:tcW w:w="1477" w:type="dxa"/>
            <w:vAlign w:val="center"/>
          </w:tcPr>
          <w:p w14:paraId="5937FB16">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7B035B8E">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3A1F3E70">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742D34CD">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3284537D">
            <w:pPr>
              <w:jc w:val="center"/>
              <w:rPr>
                <w:rFonts w:hint="default" w:ascii="Times New Roman" w:hAnsi="Times New Roman" w:cs="Times New Roman"/>
                <w:color w:val="auto"/>
                <w:highlight w:val="none"/>
                <w:vertAlign w:val="baseline"/>
                <w:lang w:val="en-US" w:eastAsia="zh-CN"/>
              </w:rPr>
            </w:pPr>
          </w:p>
        </w:tc>
        <w:tc>
          <w:tcPr>
            <w:tcW w:w="1482" w:type="dxa"/>
            <w:vAlign w:val="center"/>
          </w:tcPr>
          <w:p w14:paraId="421C72B9">
            <w:pPr>
              <w:jc w:val="center"/>
              <w:rPr>
                <w:rFonts w:hint="default" w:ascii="Times New Roman" w:hAnsi="Times New Roman" w:cs="Times New Roman"/>
                <w:color w:val="auto"/>
                <w:highlight w:val="none"/>
                <w:vertAlign w:val="baseline"/>
                <w:lang w:val="en-US" w:eastAsia="zh-CN"/>
              </w:rPr>
            </w:pPr>
          </w:p>
        </w:tc>
        <w:tc>
          <w:tcPr>
            <w:tcW w:w="1217" w:type="dxa"/>
            <w:vAlign w:val="center"/>
          </w:tcPr>
          <w:p w14:paraId="10735968">
            <w:pPr>
              <w:jc w:val="center"/>
              <w:rPr>
                <w:rFonts w:hint="default" w:ascii="Times New Roman" w:hAnsi="Times New Roman" w:cs="Times New Roman"/>
                <w:color w:val="auto"/>
                <w:highlight w:val="none"/>
                <w:vertAlign w:val="baseline"/>
                <w:lang w:val="en-US" w:eastAsia="zh-CN"/>
              </w:rPr>
            </w:pPr>
          </w:p>
        </w:tc>
      </w:tr>
      <w:tr w14:paraId="3F71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14:paraId="5F0BFDD7">
            <w:pPr>
              <w:jc w:val="center"/>
              <w:rPr>
                <w:rFonts w:hint="default" w:ascii="Times New Roman" w:hAnsi="Times New Roman" w:cs="Times New Roman"/>
                <w:color w:val="auto"/>
                <w:highlight w:val="none"/>
                <w:vertAlign w:val="baseline"/>
                <w:lang w:val="en-US" w:eastAsia="zh-CN"/>
              </w:rPr>
            </w:pPr>
          </w:p>
        </w:tc>
        <w:tc>
          <w:tcPr>
            <w:tcW w:w="1333" w:type="dxa"/>
            <w:vMerge w:val="continue"/>
            <w:vAlign w:val="center"/>
          </w:tcPr>
          <w:p w14:paraId="0214F76B">
            <w:pPr>
              <w:jc w:val="center"/>
              <w:rPr>
                <w:rFonts w:hint="default" w:ascii="Times New Roman" w:hAnsi="Times New Roman" w:cs="Times New Roman"/>
                <w:color w:val="auto"/>
                <w:highlight w:val="none"/>
                <w:vertAlign w:val="baseline"/>
                <w:lang w:val="en-US" w:eastAsia="zh-CN"/>
              </w:rPr>
            </w:pPr>
          </w:p>
        </w:tc>
        <w:tc>
          <w:tcPr>
            <w:tcW w:w="1922" w:type="dxa"/>
            <w:vAlign w:val="center"/>
          </w:tcPr>
          <w:p w14:paraId="3BC0DD2B">
            <w:pPr>
              <w:jc w:val="left"/>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计量器具3：</w:t>
            </w:r>
          </w:p>
        </w:tc>
        <w:tc>
          <w:tcPr>
            <w:tcW w:w="1477" w:type="dxa"/>
            <w:vAlign w:val="center"/>
          </w:tcPr>
          <w:p w14:paraId="33CD743C">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41E22BAD">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1A2FDC23">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042E231F">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412D2AB9">
            <w:pPr>
              <w:jc w:val="center"/>
              <w:rPr>
                <w:rFonts w:hint="default" w:ascii="Times New Roman" w:hAnsi="Times New Roman" w:cs="Times New Roman"/>
                <w:color w:val="auto"/>
                <w:highlight w:val="none"/>
                <w:vertAlign w:val="baseline"/>
                <w:lang w:val="en-US" w:eastAsia="zh-CN"/>
              </w:rPr>
            </w:pPr>
          </w:p>
        </w:tc>
        <w:tc>
          <w:tcPr>
            <w:tcW w:w="1482" w:type="dxa"/>
            <w:vAlign w:val="center"/>
          </w:tcPr>
          <w:p w14:paraId="1E0BB7A3">
            <w:pPr>
              <w:jc w:val="center"/>
              <w:rPr>
                <w:rFonts w:hint="default" w:ascii="Times New Roman" w:hAnsi="Times New Roman" w:cs="Times New Roman"/>
                <w:color w:val="auto"/>
                <w:highlight w:val="none"/>
                <w:vertAlign w:val="baseline"/>
                <w:lang w:val="en-US" w:eastAsia="zh-CN"/>
              </w:rPr>
            </w:pPr>
          </w:p>
        </w:tc>
        <w:tc>
          <w:tcPr>
            <w:tcW w:w="1217" w:type="dxa"/>
            <w:vAlign w:val="center"/>
          </w:tcPr>
          <w:p w14:paraId="2CF4088E">
            <w:pPr>
              <w:jc w:val="center"/>
              <w:rPr>
                <w:rFonts w:hint="default" w:ascii="Times New Roman" w:hAnsi="Times New Roman" w:cs="Times New Roman"/>
                <w:color w:val="auto"/>
                <w:highlight w:val="none"/>
                <w:vertAlign w:val="baseline"/>
                <w:lang w:val="en-US" w:eastAsia="zh-CN"/>
              </w:rPr>
            </w:pPr>
          </w:p>
        </w:tc>
      </w:tr>
      <w:tr w14:paraId="10FA0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7" w:type="dxa"/>
            <w:vMerge w:val="continue"/>
            <w:vAlign w:val="center"/>
          </w:tcPr>
          <w:p w14:paraId="3CB5FDAD">
            <w:pPr>
              <w:jc w:val="center"/>
              <w:rPr>
                <w:rFonts w:hint="default" w:ascii="Times New Roman" w:hAnsi="Times New Roman" w:cs="Times New Roman"/>
                <w:color w:val="auto"/>
                <w:highlight w:val="none"/>
                <w:vertAlign w:val="baseline"/>
                <w:lang w:val="en-US" w:eastAsia="zh-CN"/>
              </w:rPr>
            </w:pPr>
          </w:p>
        </w:tc>
        <w:tc>
          <w:tcPr>
            <w:tcW w:w="1333" w:type="dxa"/>
            <w:vMerge w:val="continue"/>
            <w:vAlign w:val="center"/>
          </w:tcPr>
          <w:p w14:paraId="3A985D4C">
            <w:pPr>
              <w:jc w:val="center"/>
              <w:rPr>
                <w:rFonts w:hint="default" w:ascii="Times New Roman" w:hAnsi="Times New Roman" w:cs="Times New Roman"/>
                <w:color w:val="auto"/>
                <w:highlight w:val="none"/>
                <w:vertAlign w:val="baseline"/>
                <w:lang w:val="en-US" w:eastAsia="zh-CN"/>
              </w:rPr>
            </w:pPr>
          </w:p>
        </w:tc>
        <w:tc>
          <w:tcPr>
            <w:tcW w:w="1922" w:type="dxa"/>
            <w:vAlign w:val="center"/>
          </w:tcPr>
          <w:p w14:paraId="738CB5E3">
            <w:pPr>
              <w:jc w:val="left"/>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计量器具4：</w:t>
            </w:r>
          </w:p>
        </w:tc>
        <w:tc>
          <w:tcPr>
            <w:tcW w:w="1477" w:type="dxa"/>
            <w:vAlign w:val="center"/>
          </w:tcPr>
          <w:p w14:paraId="6AB280B9">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66CF673F">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24BF8070">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2D35A63D">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54807855">
            <w:pPr>
              <w:jc w:val="center"/>
              <w:rPr>
                <w:rFonts w:hint="default" w:ascii="Times New Roman" w:hAnsi="Times New Roman" w:cs="Times New Roman"/>
                <w:color w:val="auto"/>
                <w:highlight w:val="none"/>
                <w:vertAlign w:val="baseline"/>
                <w:lang w:val="en-US" w:eastAsia="zh-CN"/>
              </w:rPr>
            </w:pPr>
          </w:p>
        </w:tc>
        <w:tc>
          <w:tcPr>
            <w:tcW w:w="1482" w:type="dxa"/>
            <w:vAlign w:val="center"/>
          </w:tcPr>
          <w:p w14:paraId="464FB49D">
            <w:pPr>
              <w:jc w:val="center"/>
              <w:rPr>
                <w:rFonts w:hint="default" w:ascii="Times New Roman" w:hAnsi="Times New Roman" w:cs="Times New Roman"/>
                <w:color w:val="auto"/>
                <w:highlight w:val="none"/>
                <w:vertAlign w:val="baseline"/>
                <w:lang w:val="en-US" w:eastAsia="zh-CN"/>
              </w:rPr>
            </w:pPr>
          </w:p>
        </w:tc>
        <w:tc>
          <w:tcPr>
            <w:tcW w:w="1217" w:type="dxa"/>
            <w:vAlign w:val="center"/>
          </w:tcPr>
          <w:p w14:paraId="2D8E0E3C">
            <w:pPr>
              <w:jc w:val="center"/>
              <w:rPr>
                <w:rFonts w:hint="default" w:ascii="Times New Roman" w:hAnsi="Times New Roman" w:cs="Times New Roman"/>
                <w:color w:val="auto"/>
                <w:highlight w:val="none"/>
                <w:vertAlign w:val="baseline"/>
                <w:lang w:val="en-US" w:eastAsia="zh-CN"/>
              </w:rPr>
            </w:pPr>
          </w:p>
        </w:tc>
      </w:tr>
      <w:tr w14:paraId="04CF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14:paraId="22F85CBD">
            <w:pPr>
              <w:jc w:val="center"/>
              <w:rPr>
                <w:rFonts w:hint="default" w:ascii="Times New Roman" w:hAnsi="Times New Roman" w:cs="Times New Roman"/>
                <w:color w:val="auto"/>
                <w:highlight w:val="none"/>
                <w:vertAlign w:val="baseline"/>
                <w:lang w:val="en-US" w:eastAsia="zh-CN"/>
              </w:rPr>
            </w:pPr>
          </w:p>
        </w:tc>
        <w:tc>
          <w:tcPr>
            <w:tcW w:w="1333" w:type="dxa"/>
            <w:vMerge w:val="continue"/>
            <w:vAlign w:val="center"/>
          </w:tcPr>
          <w:p w14:paraId="7FF98D90">
            <w:pPr>
              <w:jc w:val="center"/>
              <w:rPr>
                <w:rFonts w:hint="default" w:ascii="Times New Roman" w:hAnsi="Times New Roman" w:cs="Times New Roman"/>
                <w:color w:val="auto"/>
                <w:highlight w:val="none"/>
                <w:vertAlign w:val="baseline"/>
                <w:lang w:val="en-US" w:eastAsia="zh-CN"/>
              </w:rPr>
            </w:pPr>
          </w:p>
        </w:tc>
        <w:tc>
          <w:tcPr>
            <w:tcW w:w="1922" w:type="dxa"/>
            <w:vAlign w:val="center"/>
          </w:tcPr>
          <w:p w14:paraId="59A2D10C">
            <w:pPr>
              <w:jc w:val="left"/>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w:t>
            </w:r>
          </w:p>
        </w:tc>
        <w:tc>
          <w:tcPr>
            <w:tcW w:w="1477" w:type="dxa"/>
            <w:vAlign w:val="center"/>
          </w:tcPr>
          <w:p w14:paraId="16928DEC">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0EE97634">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3DC1257D">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00690294">
            <w:pPr>
              <w:jc w:val="center"/>
              <w:rPr>
                <w:rFonts w:hint="default" w:ascii="Times New Roman" w:hAnsi="Times New Roman" w:cs="Times New Roman"/>
                <w:color w:val="auto"/>
                <w:highlight w:val="none"/>
                <w:vertAlign w:val="baseline"/>
                <w:lang w:val="en-US" w:eastAsia="zh-CN"/>
              </w:rPr>
            </w:pPr>
          </w:p>
        </w:tc>
        <w:tc>
          <w:tcPr>
            <w:tcW w:w="1477" w:type="dxa"/>
            <w:vAlign w:val="center"/>
          </w:tcPr>
          <w:p w14:paraId="38251873">
            <w:pPr>
              <w:jc w:val="center"/>
              <w:rPr>
                <w:rFonts w:hint="default" w:ascii="Times New Roman" w:hAnsi="Times New Roman" w:cs="Times New Roman"/>
                <w:color w:val="auto"/>
                <w:highlight w:val="none"/>
                <w:vertAlign w:val="baseline"/>
                <w:lang w:val="en-US" w:eastAsia="zh-CN"/>
              </w:rPr>
            </w:pPr>
          </w:p>
        </w:tc>
        <w:tc>
          <w:tcPr>
            <w:tcW w:w="1482" w:type="dxa"/>
            <w:vAlign w:val="center"/>
          </w:tcPr>
          <w:p w14:paraId="2B283874">
            <w:pPr>
              <w:jc w:val="center"/>
              <w:rPr>
                <w:rFonts w:hint="default" w:ascii="Times New Roman" w:hAnsi="Times New Roman" w:cs="Times New Roman"/>
                <w:color w:val="auto"/>
                <w:highlight w:val="none"/>
                <w:vertAlign w:val="baseline"/>
                <w:lang w:val="en-US" w:eastAsia="zh-CN"/>
              </w:rPr>
            </w:pPr>
          </w:p>
        </w:tc>
        <w:tc>
          <w:tcPr>
            <w:tcW w:w="1217" w:type="dxa"/>
            <w:vAlign w:val="center"/>
          </w:tcPr>
          <w:p w14:paraId="697AFC73">
            <w:pPr>
              <w:jc w:val="center"/>
              <w:rPr>
                <w:rFonts w:hint="default" w:ascii="Times New Roman" w:hAnsi="Times New Roman" w:cs="Times New Roman"/>
                <w:color w:val="auto"/>
                <w:highlight w:val="none"/>
                <w:vertAlign w:val="baseline"/>
                <w:lang w:val="en-US" w:eastAsia="zh-CN"/>
              </w:rPr>
            </w:pPr>
          </w:p>
        </w:tc>
      </w:tr>
    </w:tbl>
    <w:p w14:paraId="5449A926">
      <w:pPr>
        <w:jc w:val="left"/>
        <w:rPr>
          <w:rFonts w:hint="default" w:ascii="Times New Roman" w:hAnsi="Times New Roman" w:cs="Times New Roman"/>
          <w:color w:val="auto"/>
          <w:highlight w:val="none"/>
          <w:lang w:val="en-US" w:eastAsia="zh-CN"/>
        </w:rPr>
      </w:pPr>
    </w:p>
    <w:p w14:paraId="054F80CA">
      <w:pPr>
        <w:keepNext w:val="0"/>
        <w:keepLines w:val="0"/>
        <w:pageBreakBefore w:val="0"/>
        <w:widowControl w:val="0"/>
        <w:kinsoku/>
        <w:wordWrap/>
        <w:overflowPunct/>
        <w:topLinePunct w:val="0"/>
        <w:autoSpaceDE w:val="0"/>
        <w:autoSpaceDN w:val="0"/>
        <w:bidi w:val="0"/>
        <w:adjustRightInd w:val="0"/>
        <w:snapToGrid/>
        <w:ind w:firstLine="480" w:firstLineChars="200"/>
        <w:jc w:val="left"/>
        <w:textAlignment w:val="auto"/>
        <w:rPr>
          <w:rFonts w:hint="default" w:ascii="Times New Roman" w:hAnsi="Times New Roman" w:cs="Times New Roman"/>
          <w:color w:val="auto"/>
          <w:highlight w:val="none"/>
          <w:lang w:val="en-US" w:eastAsia="zh-CN"/>
        </w:rPr>
      </w:pPr>
      <w:r>
        <w:rPr>
          <w:rFonts w:hint="eastAsia" w:cs="Times New Roman"/>
          <w:color w:val="auto"/>
          <w:highlight w:val="none"/>
          <w:lang w:val="en-US" w:eastAsia="zh-CN"/>
        </w:rPr>
        <w:t>注：关键数据是指各种化石燃料的消耗量、原材料的使用量、购入的电量、产品产量等。</w:t>
      </w:r>
    </w:p>
    <w:p w14:paraId="7AB706BD">
      <w:pPr>
        <w:jc w:val="left"/>
        <w:rPr>
          <w:rFonts w:hint="default" w:ascii="Times New Roman" w:hAnsi="Times New Roman" w:cs="Times New Roman"/>
          <w:color w:val="auto"/>
          <w:highlight w:val="none"/>
          <w:lang w:val="en-US" w:eastAsia="zh-CN"/>
        </w:rPr>
      </w:pPr>
    </w:p>
    <w:p w14:paraId="75032981">
      <w:pPr>
        <w:jc w:val="center"/>
        <w:rPr>
          <w:rFonts w:hint="default" w:ascii="Times New Roman" w:hAnsi="Times New Roman" w:eastAsia="仿宋" w:cs="Times New Roman"/>
          <w:b/>
          <w:bCs/>
          <w:color w:val="auto"/>
          <w:kern w:val="2"/>
          <w:sz w:val="28"/>
          <w:szCs w:val="28"/>
          <w:highlight w:val="none"/>
          <w:lang w:val="en-US" w:eastAsia="zh-CN" w:bidi="ar-SA"/>
        </w:rPr>
      </w:pPr>
      <w:r>
        <w:rPr>
          <w:rFonts w:hint="default" w:ascii="Times New Roman" w:hAnsi="Times New Roman" w:eastAsia="仿宋" w:cs="Times New Roman"/>
          <w:b/>
          <w:bCs/>
          <w:color w:val="auto"/>
          <w:kern w:val="2"/>
          <w:sz w:val="28"/>
          <w:szCs w:val="28"/>
          <w:highlight w:val="none"/>
          <w:lang w:val="en-US" w:eastAsia="zh-CN" w:bidi="ar-SA"/>
        </w:rPr>
        <w:t>______________________</w:t>
      </w:r>
    </w:p>
    <w:p w14:paraId="2F948D7B">
      <w:pPr>
        <w:rPr>
          <w:rFonts w:hint="default" w:ascii="Times New Roman" w:hAnsi="Times New Roman" w:cs="Times New Roman"/>
          <w:b/>
          <w:bCs/>
          <w:color w:val="auto"/>
          <w:highlight w:val="none"/>
          <w:u w:val="single"/>
          <w:lang w:val="en-US" w:eastAsia="zh-CN"/>
        </w:rPr>
      </w:pPr>
      <w:r>
        <w:rPr>
          <w:rFonts w:hint="default" w:ascii="Times New Roman" w:hAnsi="Times New Roman" w:cs="Times New Roman"/>
          <w:b/>
          <w:bCs/>
          <w:color w:val="auto"/>
          <w:highlight w:val="none"/>
          <w:u w:val="single"/>
          <w:lang w:val="en-US" w:eastAsia="zh-CN"/>
        </w:rPr>
        <w:br w:type="page"/>
      </w:r>
    </w:p>
    <w:p w14:paraId="0A56D856">
      <w:pPr>
        <w:snapToGrid w:val="0"/>
        <w:spacing w:line="360" w:lineRule="auto"/>
        <w:sectPr>
          <w:headerReference r:id="rId6" w:type="default"/>
          <w:pgSz w:w="16840" w:h="11910" w:orient="landscape"/>
          <w:pgMar w:top="1202" w:right="1661" w:bottom="1417" w:left="1338" w:header="1135" w:footer="1140" w:gutter="0"/>
          <w:pgBorders>
            <w:top w:val="none" w:sz="0" w:space="0"/>
            <w:left w:val="none" w:sz="0" w:space="0"/>
            <w:bottom w:val="none" w:sz="0" w:space="0"/>
            <w:right w:val="none" w:sz="0" w:space="0"/>
          </w:pgBorders>
          <w:pgNumType w:fmt="decimal"/>
          <w:cols w:space="0" w:num="1"/>
          <w:formProt w:val="0"/>
          <w:rtlGutter w:val="0"/>
          <w:docGrid w:linePitch="0" w:charSpace="0"/>
        </w:sectPr>
      </w:pPr>
    </w:p>
    <w:p w14:paraId="415A742C">
      <w:pPr>
        <w:snapToGrid w:val="0"/>
        <w:spacing w:line="360" w:lineRule="auto"/>
      </w:pPr>
      <w:r>
        <mc:AlternateContent>
          <mc:Choice Requires="wps">
            <w:drawing>
              <wp:anchor distT="0" distB="0" distL="114300" distR="114300" simplePos="0" relativeHeight="251671552" behindDoc="0" locked="0" layoutInCell="1" allowOverlap="1">
                <wp:simplePos x="0" y="0"/>
                <wp:positionH relativeFrom="column">
                  <wp:posOffset>6004560</wp:posOffset>
                </wp:positionH>
                <wp:positionV relativeFrom="paragraph">
                  <wp:posOffset>161290</wp:posOffset>
                </wp:positionV>
                <wp:extent cx="505460" cy="2051685"/>
                <wp:effectExtent l="0" t="0" r="8890" b="5715"/>
                <wp:wrapNone/>
                <wp:docPr id="10" name="文本框 10"/>
                <wp:cNvGraphicFramePr/>
                <a:graphic xmlns:a="http://schemas.openxmlformats.org/drawingml/2006/main">
                  <a:graphicData uri="http://schemas.microsoft.com/office/word/2010/wordprocessingShape">
                    <wps:wsp>
                      <wps:cNvSpPr txBox="1"/>
                      <wps:spPr>
                        <a:xfrm>
                          <a:off x="0" y="0"/>
                          <a:ext cx="505460" cy="2051685"/>
                        </a:xfrm>
                        <a:prstGeom prst="rect">
                          <a:avLst/>
                        </a:prstGeom>
                        <a:solidFill>
                          <a:srgbClr val="FFFFFF"/>
                        </a:solidFill>
                        <a:ln>
                          <a:noFill/>
                        </a:ln>
                        <a:effectLst/>
                      </wps:spPr>
                      <wps:txbx>
                        <w:txbxContent>
                          <w:p w14:paraId="4B8EAA8E">
                            <w:pPr>
                              <w:rPr>
                                <w:rFonts w:ascii="黑体" w:hAnsi="黑体" w:eastAsia="黑体"/>
                                <w:sz w:val="28"/>
                                <w:szCs w:val="28"/>
                                <w:lang w:eastAsia="zh-CN"/>
                              </w:rPr>
                            </w:pPr>
                            <w:r>
                              <w:rPr>
                                <w:rFonts w:hint="eastAsia" w:ascii="黑体" w:hAnsi="黑体" w:eastAsia="黑体"/>
                                <w:sz w:val="28"/>
                                <w:szCs w:val="28"/>
                              </w:rPr>
                              <w:t>JJF(皖)xx-202</w:t>
                            </w:r>
                            <w:r>
                              <w:rPr>
                                <w:rFonts w:hint="eastAsia" w:ascii="黑体" w:hAnsi="黑体" w:eastAsia="黑体"/>
                                <w:sz w:val="28"/>
                                <w:szCs w:val="28"/>
                                <w:lang w:val="en-US" w:eastAsia="zh-CN"/>
                              </w:rPr>
                              <w:t>5</w:t>
                            </w:r>
                          </w:p>
                        </w:txbxContent>
                      </wps:txbx>
                      <wps:bodyPr vert="vert270" wrap="square" anchor="t" anchorCtr="0" upright="1"/>
                    </wps:wsp>
                  </a:graphicData>
                </a:graphic>
              </wp:anchor>
            </w:drawing>
          </mc:Choice>
          <mc:Fallback>
            <w:pict>
              <v:shape id="_x0000_s1026" o:spid="_x0000_s1026" o:spt="202" type="#_x0000_t202" style="position:absolute;left:0pt;margin-left:472.8pt;margin-top:12.7pt;height:161.55pt;width:39.8pt;z-index:251671552;mso-width-relative:page;mso-height-relative:page;" fillcolor="#FFFFFF" filled="t" stroked="f" coordsize="21600,21600" o:gfxdata="UEsDBAoAAAAAAIdO4kAAAAAAAAAAAAAAAAAEAAAAZHJzL1BLAwQUAAAACACHTuJA+4seEdkAAAAL&#10;AQAADwAAAGRycy9kb3ducmV2LnhtbE2PwU7DMBBE70j8g7VI3KhdN4lKyKYCJE5IlSgRZzc2cWi8&#10;jmI3LXw97gmOq3maeVttzm5gs5lC7wlhuRDADLVe99QhNO8vd2tgISrSavBkEL5NgE19fVWpUvsT&#10;vZl5FzuWSiiUCsHGOJach9Yap8LCj4ZS9uknp2I6p47rSZ1SuRu4FKLgTvWUFqwazbM17WF3dAiz&#10;+GnalfL8dftVNIdHK5/m7Qfi7c1SPACL5hz/YLjoJ3Wok9PeH0kHNiDcZ3mRUASZZ8AugJC5BLZH&#10;WGXrHHhd8f8/1L9QSwMEFAAAAAgAh07iQJYoAhDjAQAAvQMAAA4AAABkcnMvZTJvRG9jLnhtbK1T&#10;wY7TMBC9I/EPlu80aUXLKmq6EluVCwKkZT/AdZzEku0xY7dJfwD+gBMX7nxXv4NxkpZlueyBHJzx&#10;zPjNvOfx+ra3hh0VBg2u5PNZzplyEirtmpI/fN69uuEsROEqYcCpkp9U4Lebly/WnS/UAlowlUJG&#10;IC4UnS95G6MvsizIVlkRZuCVo2ANaEWkLTZZhaIjdGuyRZ6vsg6w8ghShUDe7RjkEyI+BxDqWku1&#10;BXmwysURFZURkSiFVvvAN0O3da1k/FjXQUVmSk5M47BSEbL3ac02a1E0KHyr5dSCeE4LTzhZoR0V&#10;vUJtRRTsgPofKKslQoA6ziTYbCQyKEIs5vkTbe5b4dXAhaQO/ip6+H+w8sPxEzJd0SSQJE5YuvHz&#10;92/nH7/OP78y8pFAnQ8F5d17yoz9W+gp+eIP5Ey8+xpt+hMjRnHCOl3lVX1kkpzLfPl6RRFJoUW+&#10;nK9ulgkm+3PaY4jvFFiWjJIjXd+gqji+D3FMvaSkYgGMrnbamGGDzf7OIDsKuurd8E3of6UZl5Id&#10;pGMj4uhRw7BMZRLjkVmyYr/vJxn2UJ1IBXo+1F5aF2+IUEfzU/Lw5SBQcSacbIFGLF7MuzgO3MGj&#10;blo6OKiXJWi61UGAaQLT2Dzek/341W1+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uLHhHZAAAA&#10;CwEAAA8AAAAAAAAAAQAgAAAAIgAAAGRycy9kb3ducmV2LnhtbFBLAQIUABQAAAAIAIdO4kCWKAIQ&#10;4wEAAL0DAAAOAAAAAAAAAAEAIAAAACgBAABkcnMvZTJvRG9jLnhtbFBLBQYAAAAABgAGAFkBAAB9&#10;BQAAAAA=&#10;">
                <v:fill on="t" focussize="0,0"/>
                <v:stroke on="f"/>
                <v:imagedata o:title=""/>
                <o:lock v:ext="edit" aspectratio="f"/>
                <v:textbox style="layout-flow:vertical;mso-layout-flow-alt:bottom-to-top;">
                  <w:txbxContent>
                    <w:p w14:paraId="4B8EAA8E">
                      <w:pPr>
                        <w:rPr>
                          <w:rFonts w:ascii="黑体" w:hAnsi="黑体" w:eastAsia="黑体"/>
                          <w:sz w:val="28"/>
                          <w:szCs w:val="28"/>
                          <w:lang w:eastAsia="zh-CN"/>
                        </w:rPr>
                      </w:pPr>
                      <w:r>
                        <w:rPr>
                          <w:rFonts w:hint="eastAsia" w:ascii="黑体" w:hAnsi="黑体" w:eastAsia="黑体"/>
                          <w:sz w:val="28"/>
                          <w:szCs w:val="28"/>
                        </w:rPr>
                        <w:t>JJF(皖)xx-202</w:t>
                      </w:r>
                      <w:r>
                        <w:rPr>
                          <w:rFonts w:hint="eastAsia" w:ascii="黑体" w:hAnsi="黑体" w:eastAsia="黑体"/>
                          <w:sz w:val="28"/>
                          <w:szCs w:val="28"/>
                          <w:lang w:val="en-US" w:eastAsia="zh-CN"/>
                        </w:rPr>
                        <w:t>5</w:t>
                      </w:r>
                    </w:p>
                  </w:txbxContent>
                </v:textbox>
              </v:shape>
            </w:pict>
          </mc:Fallback>
        </mc:AlternateContent>
      </w:r>
    </w:p>
    <w:p w14:paraId="02F12440">
      <w:pPr>
        <w:snapToGrid w:val="0"/>
        <w:spacing w:line="360" w:lineRule="auto"/>
      </w:pPr>
    </w:p>
    <w:p w14:paraId="2953509C">
      <w:pPr>
        <w:snapToGrid w:val="0"/>
        <w:spacing w:line="360" w:lineRule="auto"/>
      </w:pPr>
    </w:p>
    <w:p w14:paraId="6D780517">
      <w:pPr>
        <w:pStyle w:val="75"/>
        <w:rPr>
          <w:rFonts w:ascii="Times New Roman" w:hAnsi="Times New Roman" w:cs="Times New Roman"/>
          <w:color w:val="auto"/>
          <w:sz w:val="32"/>
          <w:szCs w:val="28"/>
        </w:rPr>
      </w:pPr>
    </w:p>
    <w:p w14:paraId="2E3F2856">
      <w:pPr>
        <w:pStyle w:val="75"/>
        <w:rPr>
          <w:rFonts w:ascii="Times New Roman" w:hAnsi="Times New Roman" w:cs="Times New Roman"/>
          <w:color w:val="auto"/>
          <w:sz w:val="32"/>
          <w:szCs w:val="28"/>
        </w:rPr>
      </w:pPr>
    </w:p>
    <w:p w14:paraId="78AB1E22">
      <w:pPr>
        <w:pStyle w:val="75"/>
        <w:rPr>
          <w:rFonts w:ascii="Times New Roman" w:hAnsi="Times New Roman" w:cs="Times New Roman"/>
          <w:color w:val="auto"/>
          <w:sz w:val="32"/>
          <w:szCs w:val="28"/>
        </w:rPr>
      </w:pPr>
    </w:p>
    <w:p w14:paraId="384D4E2F">
      <w:pPr>
        <w:pStyle w:val="75"/>
        <w:rPr>
          <w:rFonts w:ascii="Times New Roman" w:hAnsi="Times New Roman" w:cs="Times New Roman"/>
          <w:color w:val="auto"/>
          <w:sz w:val="32"/>
          <w:szCs w:val="28"/>
        </w:rPr>
      </w:pPr>
    </w:p>
    <w:p w14:paraId="43F26CC9">
      <w:pPr>
        <w:pStyle w:val="75"/>
        <w:rPr>
          <w:rFonts w:ascii="Times New Roman" w:hAnsi="Times New Roman" w:cs="Times New Roman"/>
          <w:color w:val="auto"/>
          <w:sz w:val="32"/>
          <w:szCs w:val="28"/>
        </w:rPr>
      </w:pPr>
    </w:p>
    <w:p w14:paraId="3A5F522A">
      <w:pPr>
        <w:pStyle w:val="75"/>
        <w:rPr>
          <w:rFonts w:ascii="Times New Roman" w:hAnsi="Times New Roman" w:cs="Times New Roman"/>
          <w:color w:val="auto"/>
          <w:sz w:val="32"/>
          <w:szCs w:val="28"/>
        </w:rPr>
      </w:pPr>
    </w:p>
    <w:p w14:paraId="7167828E">
      <w:pPr>
        <w:pStyle w:val="75"/>
        <w:rPr>
          <w:rFonts w:ascii="Times New Roman" w:hAnsi="Times New Roman" w:cs="Times New Roman"/>
          <w:color w:val="auto"/>
          <w:sz w:val="32"/>
          <w:szCs w:val="28"/>
        </w:rPr>
      </w:pPr>
    </w:p>
    <w:p w14:paraId="22FE2538">
      <w:pPr>
        <w:pStyle w:val="75"/>
        <w:rPr>
          <w:rFonts w:ascii="Times New Roman" w:hAnsi="Times New Roman" w:cs="Times New Roman"/>
          <w:color w:val="auto"/>
          <w:sz w:val="32"/>
          <w:szCs w:val="28"/>
        </w:rPr>
      </w:pPr>
    </w:p>
    <w:p w14:paraId="79EA24E5">
      <w:pPr>
        <w:pStyle w:val="75"/>
        <w:rPr>
          <w:rFonts w:ascii="Times New Roman" w:hAnsi="Times New Roman" w:cs="Times New Roman"/>
          <w:color w:val="auto"/>
          <w:sz w:val="32"/>
          <w:szCs w:val="28"/>
        </w:rPr>
      </w:pPr>
    </w:p>
    <w:p w14:paraId="1912A092">
      <w:pPr>
        <w:pStyle w:val="75"/>
        <w:rPr>
          <w:rFonts w:ascii="Times New Roman" w:hAnsi="Times New Roman" w:cs="Times New Roman"/>
          <w:color w:val="auto"/>
          <w:sz w:val="32"/>
          <w:szCs w:val="28"/>
        </w:rPr>
      </w:pPr>
    </w:p>
    <w:p w14:paraId="35D9923B">
      <w:pPr>
        <w:widowControl/>
        <w:adjustRightInd w:val="0"/>
        <w:spacing w:line="480" w:lineRule="exact"/>
        <w:jc w:val="center"/>
        <w:rPr>
          <w:rFonts w:hAnsi="Times New Roman" w:cs="Times New Roman"/>
          <w:sz w:val="28"/>
          <w:szCs w:val="20"/>
        </w:rPr>
      </w:pPr>
    </w:p>
    <w:p w14:paraId="27342D78">
      <w:pPr>
        <w:widowControl/>
        <w:adjustRightInd w:val="0"/>
        <w:spacing w:line="480" w:lineRule="exact"/>
        <w:jc w:val="center"/>
        <w:rPr>
          <w:sz w:val="28"/>
          <w:szCs w:val="20"/>
        </w:rPr>
      </w:pPr>
    </w:p>
    <w:p w14:paraId="2A813C31">
      <w:pPr>
        <w:widowControl/>
        <w:adjustRightInd w:val="0"/>
        <w:spacing w:line="480" w:lineRule="exact"/>
        <w:jc w:val="center"/>
        <w:rPr>
          <w:sz w:val="28"/>
          <w:szCs w:val="20"/>
        </w:rPr>
      </w:pPr>
    </w:p>
    <w:p w14:paraId="0FB33ACF">
      <w:pPr>
        <w:widowControl/>
        <w:adjustRightInd w:val="0"/>
        <w:spacing w:line="480" w:lineRule="exact"/>
        <w:jc w:val="center"/>
        <w:rPr>
          <w:sz w:val="28"/>
          <w:szCs w:val="20"/>
        </w:rPr>
      </w:pPr>
    </w:p>
    <w:p w14:paraId="5A9E4187">
      <w:pPr>
        <w:widowControl/>
        <w:adjustRightInd w:val="0"/>
        <w:spacing w:line="480" w:lineRule="exact"/>
        <w:jc w:val="center"/>
        <w:rPr>
          <w:sz w:val="28"/>
          <w:szCs w:val="20"/>
        </w:rPr>
      </w:pPr>
    </w:p>
    <w:p w14:paraId="743F938E">
      <w:pPr>
        <w:widowControl/>
        <w:adjustRightInd w:val="0"/>
        <w:spacing w:line="480" w:lineRule="exact"/>
        <w:jc w:val="center"/>
        <w:rPr>
          <w:sz w:val="28"/>
          <w:szCs w:val="20"/>
        </w:rPr>
      </w:pPr>
    </w:p>
    <w:p w14:paraId="401C3AD2">
      <w:pPr>
        <w:widowControl/>
        <w:adjustRightInd w:val="0"/>
        <w:spacing w:line="480" w:lineRule="exact"/>
        <w:jc w:val="center"/>
        <w:rPr>
          <w:sz w:val="28"/>
          <w:szCs w:val="20"/>
        </w:rPr>
      </w:pPr>
    </w:p>
    <w:p w14:paraId="245BBBDB">
      <w:pPr>
        <w:wordWrap w:val="0"/>
        <w:spacing w:line="360" w:lineRule="auto"/>
        <w:jc w:val="right"/>
        <w:rPr>
          <w:rFonts w:asciiTheme="minorEastAsia" w:hAnsiTheme="minorEastAsia" w:eastAsiaTheme="minorEastAsia"/>
          <w:sz w:val="21"/>
          <w:szCs w:val="21"/>
          <w:lang w:eastAsia="zh-CN"/>
        </w:rPr>
      </w:pPr>
      <w:r>
        <w:rPr>
          <w:rFonts w:hint="eastAsia" w:asciiTheme="minorEastAsia" w:hAnsiTheme="minorEastAsia" w:eastAsiaTheme="minorEastAsia"/>
          <w:szCs w:val="21"/>
          <w:lang w:eastAsia="zh-CN"/>
        </w:rPr>
        <w:t xml:space="preserve">   安徽省地方校准规范</w:t>
      </w:r>
    </w:p>
    <w:p w14:paraId="533F0A91">
      <w:pPr>
        <w:spacing w:before="55" w:line="360" w:lineRule="auto"/>
        <w:jc w:val="right"/>
        <w:rPr>
          <w:rFonts w:asciiTheme="minorEastAsia" w:hAnsiTheme="minorEastAsia" w:eastAsiaTheme="minorEastAsia"/>
          <w:szCs w:val="21"/>
          <w:lang w:eastAsia="zh-CN"/>
        </w:rPr>
      </w:pPr>
      <w:r>
        <w:rPr>
          <w:rFonts w:hint="eastAsia" w:ascii="黑体" w:hAnsi="黑体" w:eastAsia="黑体"/>
          <w:szCs w:val="21"/>
          <w:lang w:eastAsia="zh-CN"/>
        </w:rPr>
        <w:t xml:space="preserve">   “两高”企业监测计量器具配备和管理通则</w:t>
      </w:r>
    </w:p>
    <w:p w14:paraId="7906E52B">
      <w:pPr>
        <w:spacing w:before="55" w:line="360" w:lineRule="auto"/>
        <w:jc w:val="right"/>
        <w:rPr>
          <w:rFonts w:asciiTheme="minorEastAsia" w:hAnsiTheme="minorEastAsia" w:eastAsiaTheme="minorEastAsia"/>
          <w:szCs w:val="21"/>
          <w:lang w:eastAsia="zh-CN"/>
        </w:rPr>
      </w:pPr>
      <w:r>
        <w:rPr>
          <w:rFonts w:eastAsiaTheme="minorEastAsia"/>
          <w:szCs w:val="21"/>
          <w:lang w:eastAsia="zh-CN"/>
        </w:rPr>
        <w:t>JJF</w:t>
      </w:r>
      <w:r>
        <w:rPr>
          <w:rFonts w:hint="eastAsia" w:asciiTheme="minorEastAsia" w:hAnsiTheme="minorEastAsia" w:eastAsiaTheme="minorEastAsia"/>
          <w:szCs w:val="21"/>
          <w:lang w:eastAsia="zh-CN"/>
        </w:rPr>
        <w:t>（皖）</w:t>
      </w:r>
      <w:r>
        <w:rPr>
          <w:rFonts w:eastAsiaTheme="minorEastAsia"/>
          <w:szCs w:val="21"/>
          <w:lang w:eastAsia="zh-CN"/>
        </w:rPr>
        <w:t>XX</w:t>
      </w:r>
      <w:r>
        <w:rPr>
          <w:rFonts w:hint="eastAsia" w:eastAsiaTheme="minorEastAsia"/>
          <w:szCs w:val="21"/>
          <w:lang w:eastAsia="zh-CN"/>
        </w:rPr>
        <w:t>－</w:t>
      </w:r>
      <w:r>
        <w:rPr>
          <w:rFonts w:eastAsiaTheme="minorEastAsia"/>
          <w:szCs w:val="21"/>
          <w:lang w:eastAsia="zh-CN"/>
        </w:rPr>
        <w:t>202</w:t>
      </w:r>
      <w:r>
        <w:rPr>
          <w:rFonts w:hint="eastAsia" w:eastAsiaTheme="minorEastAsia"/>
          <w:szCs w:val="21"/>
          <w:lang w:val="en-US" w:eastAsia="zh-CN"/>
        </w:rPr>
        <w:t>5</w:t>
      </w:r>
    </w:p>
    <w:p w14:paraId="1FBD9EFB">
      <w:pPr>
        <w:wordWrap w:val="0"/>
        <w:spacing w:line="360" w:lineRule="auto"/>
        <w:jc w:val="right"/>
        <w:rPr>
          <w:rFonts w:asciiTheme="minorEastAsia" w:hAnsiTheme="minorEastAsia" w:eastAsiaTheme="minorEastAsia"/>
          <w:kern w:val="2"/>
          <w:sz w:val="32"/>
          <w:szCs w:val="28"/>
          <w:lang w:eastAsia="zh-CN"/>
        </w:rPr>
      </w:pPr>
      <w:r>
        <w:rPr>
          <w:rFonts w:hint="eastAsia" w:asciiTheme="minorEastAsia" w:hAnsiTheme="minorEastAsia" w:eastAsiaTheme="minorEastAsia"/>
          <w:szCs w:val="21"/>
          <w:lang w:eastAsia="zh-CN"/>
        </w:rPr>
        <w:t xml:space="preserve">      安徽省市场监督管理局发布</w:t>
      </w:r>
    </w:p>
    <w:p w14:paraId="73A84CA0">
      <w:pPr>
        <w:widowControl/>
        <w:autoSpaceDE/>
        <w:autoSpaceDN/>
        <w:spacing w:after="0"/>
        <w:rPr>
          <w:rFonts w:asciiTheme="minorEastAsia" w:hAnsiTheme="minorEastAsia" w:eastAsiaTheme="minorEastAsia"/>
          <w:kern w:val="2"/>
          <w:sz w:val="32"/>
          <w:szCs w:val="28"/>
          <w:lang w:eastAsia="zh-CN"/>
        </w:rPr>
      </w:pPr>
      <w:r>
        <w:rPr>
          <w:rFonts w:ascii="楷体"/>
          <w:sz w:val="20"/>
          <w:lang w:eastAsia="zh-CN"/>
        </w:rPr>
        <w:t xml:space="preserve"> </w:t>
      </w:r>
    </w:p>
    <w:p w14:paraId="4230328B">
      <w:pPr>
        <w:pStyle w:val="2"/>
        <w:rPr>
          <w:rFonts w:hint="default"/>
          <w:lang w:val="en-US" w:eastAsia="zh-CN"/>
        </w:rPr>
      </w:pPr>
    </w:p>
    <w:sectPr>
      <w:headerReference r:id="rId7" w:type="default"/>
      <w:footerReference r:id="rId8" w:type="default"/>
      <w:pgSz w:w="11910" w:h="16840"/>
      <w:pgMar w:top="1661" w:right="1417" w:bottom="1338" w:left="1202" w:header="1135" w:footer="1140" w:gutter="0"/>
      <w:pgBorders>
        <w:top w:val="none" w:sz="0" w:space="0"/>
        <w:left w:val="none" w:sz="0" w:space="0"/>
        <w:bottom w:val="none" w:sz="0" w:space="0"/>
        <w:right w:val="none" w:sz="0" w:space="0"/>
      </w:pgBorders>
      <w:pgNumType w:fmt="decimal" w:start="1"/>
      <w:cols w:space="0" w:num="1"/>
      <w:formProt w:val="0"/>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书宋简体">
    <w:altName w:val="宋体"/>
    <w:panose1 w:val="00000000000000000000"/>
    <w:charset w:val="86"/>
    <w:family w:val="auto"/>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方正舒体"/>
    <w:panose1 w:val="00000000000000000000"/>
    <w:charset w:val="86"/>
    <w:family w:val="script"/>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4918722"/>
      <w:docPartObj>
        <w:docPartGallery w:val="autotext"/>
      </w:docPartObj>
    </w:sdtPr>
    <w:sdtContent>
      <w:p w14:paraId="535DAEB3">
        <w:pPr>
          <w:pStyle w:val="10"/>
          <w:jc w:val="right"/>
        </w:pPr>
        <w:r>
          <w:fldChar w:fldCharType="begin"/>
        </w:r>
        <w:r>
          <w:instrText xml:space="preserve">PAGE   \* MERGEFORMAT</w:instrText>
        </w:r>
        <w:r>
          <w:fldChar w:fldCharType="separate"/>
        </w:r>
        <w:r>
          <w:rPr>
            <w:lang w:val="zh-CN"/>
          </w:rPr>
          <w:t>II</w:t>
        </w:r>
        <w:r>
          <w:fldChar w:fldCharType="end"/>
        </w:r>
      </w:p>
    </w:sdtContent>
  </w:sdt>
  <w:p w14:paraId="36A943BE">
    <w:pPr>
      <w:kinsoku w:val="0"/>
      <w:overflowPunct w:val="0"/>
      <w:spacing w:line="200" w:lineRule="exact"/>
      <w:rPr>
        <w:rFonts w:eastAsiaTheme="minorEastAsia"/>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EB442">
    <w:pPr>
      <w:pStyle w:val="10"/>
      <w:jc w:val="right"/>
    </w:pP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15A90">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3015A90">
                    <w:pPr>
                      <w:pStyle w:val="10"/>
                    </w:pPr>
                    <w:r>
                      <w:fldChar w:fldCharType="begin"/>
                    </w:r>
                    <w:r>
                      <w:instrText xml:space="preserve"> PAGE  \* MERGEFORMAT </w:instrText>
                    </w:r>
                    <w:r>
                      <w:fldChar w:fldCharType="separate"/>
                    </w:r>
                    <w:r>
                      <w:t>1</w:t>
                    </w:r>
                    <w:r>
                      <w:fldChar w:fldCharType="end"/>
                    </w:r>
                  </w:p>
                </w:txbxContent>
              </v:textbox>
            </v:shape>
          </w:pict>
        </mc:Fallback>
      </mc:AlternateContent>
    </w:r>
    <w:sdt>
      <w:sdtPr>
        <w:rPr>
          <w:rFonts w:hint="default"/>
          <w:lang w:val="en-US"/>
        </w:rPr>
        <w:id w:val="-3368904"/>
        <w:showingPlcHdr/>
        <w:docPartObj>
          <w:docPartGallery w:val="autotext"/>
        </w:docPartObj>
      </w:sdtPr>
      <w:sdtEndPr>
        <w:rPr>
          <w:rFonts w:hint="default"/>
          <w:lang w:val="en-US"/>
        </w:rPr>
      </w:sdtEndPr>
      <w:sdtContent>
        <w:r>
          <w:rPr>
            <w:rFonts w:hint="eastAsia"/>
            <w:lang w:val="en-US" w:eastAsia="zh-CN"/>
          </w:rPr>
          <w:t xml:space="preserve">     </w:t>
        </w:r>
      </w:sdtContent>
    </w:sdt>
  </w:p>
  <w:p w14:paraId="498E788E">
    <w:pPr>
      <w:kinsoku w:val="0"/>
      <w:overflowPunct w:val="0"/>
      <w:spacing w:line="200" w:lineRule="exact"/>
      <w:rPr>
        <w:rFonts w:eastAsia="Times New Roman"/>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B2054">
    <w:pPr>
      <w:pStyle w:val="10"/>
      <w:jc w:val="center"/>
    </w:pPr>
    <w:r>
      <w:rPr>
        <w:sz w:val="18"/>
      </w:rPr>
      <mc:AlternateContent>
        <mc:Choice Requires="wps">
          <w:drawing>
            <wp:anchor distT="0" distB="0" distL="114300" distR="114300" simplePos="0" relativeHeight="251672576"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65CB82">
                          <w:pPr>
                            <w:pStyle w:val="1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65CB82">
                    <w:pPr>
                      <w:pStyle w:val="10"/>
                    </w:pPr>
                  </w:p>
                </w:txbxContent>
              </v:textbox>
            </v:shape>
          </w:pict>
        </mc:Fallback>
      </mc:AlternateContent>
    </w:r>
    <w:sdt>
      <w:sdtPr>
        <w:rPr>
          <w:rFonts w:hint="default"/>
          <w:lang w:val="en-US"/>
        </w:rPr>
        <w:id w:val="147476556"/>
        <w:showingPlcHdr/>
        <w:docPartObj>
          <w:docPartGallery w:val="autotext"/>
        </w:docPartObj>
      </w:sdtPr>
      <w:sdtEndPr>
        <w:rPr>
          <w:rFonts w:hint="default"/>
          <w:lang w:val="en-US"/>
        </w:rPr>
      </w:sdtEndPr>
      <w:sdtContent>
        <w:r>
          <w:rPr>
            <w:rFonts w:hint="eastAsia"/>
            <w:lang w:val="en-US" w:eastAsia="zh-CN"/>
          </w:rPr>
          <w:t xml:space="preserve">     </w:t>
        </w:r>
      </w:sdtContent>
    </w:sdt>
  </w:p>
  <w:p w14:paraId="5E2F76FA">
    <w:pPr>
      <w:kinsoku w:val="0"/>
      <w:overflowPunct w:val="0"/>
      <w:spacing w:line="200" w:lineRule="exact"/>
      <w:rPr>
        <w:rFonts w:eastAsia="Times New Roman"/>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3A047">
    <w:pPr>
      <w:kinsoku w:val="0"/>
      <w:overflowPunct w:val="0"/>
      <w:spacing w:line="240" w:lineRule="auto"/>
      <w:rPr>
        <w:rFonts w:hint="default" w:ascii="黑体" w:hAnsi="黑体" w:eastAsia="黑体"/>
        <w:sz w:val="21"/>
        <w:lang w:val="en-US"/>
      </w:rPr>
    </w:pPr>
    <w:r>
      <mc:AlternateContent>
        <mc:Choice Requires="wps">
          <w:drawing>
            <wp:anchor distT="0" distB="0" distL="114300" distR="114300" simplePos="0" relativeHeight="251660288" behindDoc="1" locked="0" layoutInCell="0" allowOverlap="1">
              <wp:simplePos x="0" y="0"/>
              <wp:positionH relativeFrom="page">
                <wp:posOffset>716915</wp:posOffset>
              </wp:positionH>
              <wp:positionV relativeFrom="page">
                <wp:posOffset>906780</wp:posOffset>
              </wp:positionV>
              <wp:extent cx="5977890" cy="0"/>
              <wp:effectExtent l="0" t="0" r="22860" b="19050"/>
              <wp:wrapNone/>
              <wp:docPr id="7" name="任意多边形 1"/>
              <wp:cNvGraphicFramePr/>
              <a:graphic xmlns:a="http://schemas.openxmlformats.org/drawingml/2006/main">
                <a:graphicData uri="http://schemas.microsoft.com/office/word/2010/wordprocessingShape">
                  <wps:wsp>
                    <wps:cNvSpPr/>
                    <wps:spPr bwMode="auto">
                      <a:xfrm>
                        <a:off x="0" y="0"/>
                        <a:ext cx="5977890" cy="0"/>
                      </a:xfrm>
                      <a:custGeom>
                        <a:avLst/>
                        <a:gdLst>
                          <a:gd name="T0" fmla="*/ 0 w 9414"/>
                          <a:gd name="T1" fmla="*/ 0 h 20"/>
                          <a:gd name="T2" fmla="*/ 9414 w 9414"/>
                          <a:gd name="T3" fmla="*/ 0 h 20"/>
                        </a:gdLst>
                        <a:ahLst/>
                        <a:cxnLst>
                          <a:cxn ang="0">
                            <a:pos x="T0" y="T1"/>
                          </a:cxn>
                          <a:cxn ang="0">
                            <a:pos x="T2" y="T3"/>
                          </a:cxn>
                        </a:cxnLst>
                        <a:rect l="0" t="0" r="r" b="b"/>
                        <a:pathLst>
                          <a:path w="9414" h="20">
                            <a:moveTo>
                              <a:pt x="0" y="0"/>
                            </a:moveTo>
                            <a:lnTo>
                              <a:pt x="9414" y="0"/>
                            </a:lnTo>
                          </a:path>
                        </a:pathLst>
                      </a:custGeom>
                      <a:noFill/>
                      <a:ln w="7366">
                        <a:solidFill>
                          <a:srgbClr val="000000"/>
                        </a:solidFill>
                        <a:round/>
                      </a:ln>
                    </wps:spPr>
                    <wps:bodyPr rot="0" vert="horz" wrap="square" lIns="91440" tIns="45720" rIns="91440" bIns="45720" anchor="t" anchorCtr="0" upright="1">
                      <a:noAutofit/>
                    </wps:bodyPr>
                  </wps:wsp>
                </a:graphicData>
              </a:graphic>
            </wp:anchor>
          </w:drawing>
        </mc:Choice>
        <mc:Fallback>
          <w:pict>
            <v:shape id="任意多边形 1" o:spid="_x0000_s1026" o:spt="100" style="position:absolute;left:0pt;margin-left:56.45pt;margin-top:71.4pt;height:0pt;width:470.7pt;mso-position-horizontal-relative:page;mso-position-vertical-relative:page;z-index:-251656192;mso-width-relative:page;mso-height-relative:page;" filled="f" stroked="t" coordsize="9414,20" o:allowincell="f" o:gfxdata="UEsDBAoAAAAAAIdO4kAAAAAAAAAAAAAAAAAEAAAAZHJzL1BLAwQUAAAACACHTuJACHYhtdgAAAAM&#10;AQAADwAAAGRycy9kb3ducmV2LnhtbE2PQU/DMAyF70j8h8hI3Fjabq1YaToBEhc4sTFxzRrTVkuc&#10;qsm6wa/Hk5DGzc9+ev5etTo5KyYcQ+9JQTpLQCA13vTUKvjYvNzdgwhRk9HWEyr4xgCr+vqq0qXx&#10;R3rHaR1bwSEUSq2gi3EopQxNh06HmR+Q+PblR6cjy7GVZtRHDndWZklSSKd74g+dHvC5w2a/PjgF&#10;25+8eFpu5m/TZ7ZtH4tXubf5pNTtTZo8gIh4ihcznPEZHWpm2vkDmSAs6zRbspWHRcYdzo4kX8xB&#10;7P5Wsq7k/xL1L1BLAwQUAAAACACHTuJAbVvwb7MCAADEBQAADgAAAGRycy9lMm9Eb2MueG1srVRL&#10;btswEN0X6B0ILgs0khwnjg3LQZEgRYF+AsQ9AE1RlgCKw5KU5XTdffddFr1EEbSnaYoeo0NKchQX&#10;AbKoFzLJGb5582aG89NtJclGGFuCSmlyEFMiFIesVOuUvl9ePD+hxDqmMiZBiZReC0tPF0+fzBs9&#10;EyMoQGbCEARRdtbolBbO6VkUWV6IitkD0EKhMQdTMYdbs44ywxpEr2Q0iuPjqAGTaQNcWIun562R&#10;dojmMYCQ5yUX58DrSijXohohmcOUbFFqSxeBbZ4L7t7luRWOyJRipi58MQiuV/4bLeZstjZMFyXv&#10;KLDHUNjLqWKlwqA7qHPmGKlN+Q9UVXIDFnJ3wKGK2kSCIphFEu9pc1UwLUIuKLXVO9Ht/4PlbzeX&#10;hpRZSieUKFZhwX/d3Pz+9Pn225c/P7/f/vhKEi9So+0Mfa/0pel2Fpdk1byBDO+w2kHIf5ubyuuA&#10;mZFtkPl6J7PYOsLx8Gg6mZxMsQK8t0Vs1l/ktXUvBQQQtnltXVuhDFdB36xjucT7eSWxWM8iEpOG&#10;TMfJuCvnzie551OQUV/wncdo4OERHgA6HLjFpAdC2uueGCt6rnyrOrK4IsyPVRy00WC9Jp45Jr4M&#10;uiIEevnMHnBGgt750KfWO7f/XRCDPb7f3SZ096qVQzPnufkYfkmalAatSJFSFMSfV7ARSwgebq9s&#10;GOvOKtXQq0UZ1LA14w0fJ9DdxfaUB5VVcFFKGUorlWc0OTw+DlQsyDLzRs/GmvXqTBqyYX58w6/T&#10;4Z6bgVplrT4StYx8s/r2bNt2Bdk1tqqBdvjx6cNFAeYjJQ0Ofkrth5oZQYl8pXCypsl4jBVyYTM+&#10;mqBExAwtq6GFKY5QKXUUK+2XZ659XWptynWBkZKQloIXOCJ56ds58GtZdRsc7iBX9xD512O4D153&#10;j+/i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QFAABbQ29udGVudF9UeXBlc10ueG1sUEsBAhQACgAAAAAAh07iQAAAAAAAAAAAAAAAAAYAAAAA&#10;AAAAAAAQAAAABgQAAF9yZWxzL1BLAQIUABQAAAAIAIdO4kCKFGY80QAAAJQBAAALAAAAAAAAAAEA&#10;IAAAACoEAABfcmVscy8ucmVsc1BLAQIUAAoAAAAAAIdO4kAAAAAAAAAAAAAAAAAEAAAAAAAAAAAA&#10;EAAAAAAAAABkcnMvUEsBAhQAFAAAAAgAh07iQAh2IbXYAAAADAEAAA8AAAAAAAAAAQAgAAAAIgAA&#10;AGRycy9kb3ducmV2LnhtbFBLAQIUABQAAAAIAIdO4kBtW/BvswIAAMQFAAAOAAAAAAAAAAEAIAAA&#10;ACcBAABkcnMvZTJvRG9jLnhtbFBLBQYAAAAABgAGAFkBAABMBgAAAAA=&#10;" path="m0,0l9414,0e">
              <v:path o:connectlocs="0,0;5977890,0" o:connectangles="0,0"/>
              <v:fill on="f" focussize="0,0"/>
              <v:stroke weight="0.58pt" color="#000000" joinstyle="round"/>
              <v:imagedata o:title=""/>
              <o:lock v:ext="edit" aspectratio="f"/>
            </v:shape>
          </w:pict>
        </mc:Fallback>
      </mc:AlternateContent>
    </w:r>
    <w:r>
      <mc:AlternateContent>
        <mc:Choice Requires="wps">
          <w:drawing>
            <wp:anchor distT="0" distB="0" distL="114300" distR="114300" simplePos="0" relativeHeight="251661312" behindDoc="1" locked="0" layoutInCell="0" allowOverlap="1">
              <wp:simplePos x="0" y="0"/>
              <wp:positionH relativeFrom="page">
                <wp:posOffset>3195955</wp:posOffset>
              </wp:positionH>
              <wp:positionV relativeFrom="page">
                <wp:posOffset>732790</wp:posOffset>
              </wp:positionV>
              <wp:extent cx="1427480" cy="159385"/>
              <wp:effectExtent l="0" t="0" r="1270" b="12065"/>
              <wp:wrapNone/>
              <wp:docPr id="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27480" cy="159385"/>
                      </a:xfrm>
                      <a:prstGeom prst="rect">
                        <a:avLst/>
                      </a:prstGeom>
                      <a:noFill/>
                      <a:ln>
                        <a:noFill/>
                      </a:ln>
                    </wps:spPr>
                    <wps:txbx>
                      <w:txbxContent>
                        <w:p w14:paraId="32C14605">
                          <w:pPr>
                            <w:kinsoku w:val="0"/>
                            <w:overflowPunct w:val="0"/>
                            <w:spacing w:line="200" w:lineRule="exact"/>
                            <w:jc w:val="center"/>
                            <w:rPr>
                              <w:rFonts w:hint="default" w:ascii="黑体" w:hAnsi="黑体" w:eastAsia="黑体"/>
                              <w:sz w:val="21"/>
                              <w:lang w:val="en-US" w:eastAsia="zh-CN"/>
                            </w:rPr>
                          </w:pPr>
                          <w:r>
                            <w:rPr>
                              <w:rFonts w:hint="eastAsia" w:ascii="黑体" w:hAnsi="黑体" w:eastAsia="黑体"/>
                              <w:sz w:val="21"/>
                              <w:szCs w:val="21"/>
                            </w:rPr>
                            <w:t>JJF（皖）XX</w:t>
                          </w:r>
                          <w:r>
                            <w:rPr>
                              <w:rFonts w:hint="eastAsia" w:ascii="黑体" w:hAnsi="黑体" w:eastAsia="黑体"/>
                              <w:sz w:val="21"/>
                              <w:szCs w:val="21"/>
                              <w:lang w:val="en-US" w:eastAsia="zh-CN"/>
                            </w:rPr>
                            <w:t>X</w:t>
                          </w:r>
                          <w:r>
                            <w:rPr>
                              <w:rFonts w:hint="eastAsia" w:ascii="黑体" w:hAnsi="黑体" w:eastAsia="黑体"/>
                              <w:sz w:val="21"/>
                              <w:szCs w:val="21"/>
                            </w:rPr>
                            <w:t>—</w:t>
                          </w:r>
                          <w:r>
                            <w:rPr>
                              <w:rFonts w:hint="eastAsia" w:ascii="黑体" w:hAnsi="黑体" w:eastAsia="黑体"/>
                              <w:sz w:val="21"/>
                              <w:szCs w:val="21"/>
                              <w:lang w:val="en-US" w:eastAsia="zh-CN"/>
                            </w:rPr>
                            <w:t>2025</w:t>
                          </w:r>
                        </w:p>
                        <w:p w14:paraId="133A089B">
                          <w:pPr>
                            <w:rPr>
                              <w:rFonts w:eastAsia="Times New Roman"/>
                            </w:rPr>
                          </w:pP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251.65pt;margin-top:57.7pt;height:12.55pt;width:112.4pt;mso-position-horizontal-relative:page;mso-position-vertical-relative:page;z-index:-251655168;mso-width-relative:page;mso-height-relative:page;" filled="f" stroked="f" coordsize="21600,21600" o:allowincell="f" o:gfxdata="UEsDBAoAAAAAAIdO4kAAAAAAAAAAAAAAAAAEAAAAZHJzL1BLAwQUAAAACACHTuJAf12ubNoAAAAL&#10;AQAADwAAAGRycy9kb3ducmV2LnhtbE2PTU/DMAyG70j8h8hI3FjSbR2jNJ0QghMSWlcOHNPWa6M1&#10;TmmyD/495gRH+330+nG+ubhBnHAK1pOGZKZAIDW+tdRp+Khe79YgQjTUmsETavjGAJvi+io3WevP&#10;VOJpFzvBJRQyo6GPccykDE2PzoSZH5E42/vJmcjj1Ml2Mmcud4OcK7WSzljiC70Z8bnH5rA7Og1P&#10;n1S+2K/3elvuS1tVD4reVgetb28S9Qgi4iX+wfCrz+pQsFPtj9QGMWhI1WLBKAdJugTBxP18nYCo&#10;ebNUKcgil/9/KH4AUEsDBBQAAAAIAIdO4kAIGyPGDgIAAAUEAAAOAAAAZHJzL2Uyb0RvYy54bWyt&#10;U81uEzEQviPxDpbvZJPQlrDKpiqNipDKj1R4gInXm7XY9Zixk93yAPQNOHHhznPlORh7k1DKpQcu&#10;1tgef/N934zn533biK0mb9AWcjIaS6GtwtLYdSE/fbx6NpPCB7AlNGh1IW+1l+eLp0/mncv1FGts&#10;Sk2CQazPO1fIOgSXZ5lXtW7Bj9Bpy5cVUguBt7TOSoKO0dsmm47HZ1mHVDpCpb3n0+VwKfeI9BhA&#10;rCqj9BLVptU2DKikGwgsydfGeblIbKtKq/C+qrwOoikkKw1p5SIcr+KaLeaQrwlcbdSeAjyGwgNN&#10;LRjLRY9QSwggNmT+gWqNIvRYhZHCNhuEJEdYxWT8wJubGpxOWthq746m+/8Hq95tP5AwZSHPpLDQ&#10;csN33+92P37tfn4T02hP53zOWTeO80L/CnsemiTVu2tUn72weFmDXesLIuxqDSXTm8SX2b2nA46P&#10;IKvuLZZcBzYBE1BfURu9YzcEo3Nrbo+t0X0QKpY8mb44mfGV4rvJ6cvns9NUAvLDa0c+vNbYihgU&#10;krj1CR221z5ENpAfUmIxi1emaVL7G/vXASfGk8Q+Eh6oh37V791YYXnLOgiHaeK/xEGN9FWKjiep&#10;kP7LBkhL0byx7EUcu0NAh2B1CMAqflrIIMUQXoZhPDeOzLpm5MFtixfsV2WSlGjswGLPk6cjKdxP&#10;chy/+/uU9ef3Ln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12ubNoAAAALAQAADwAAAAAAAAAB&#10;ACAAAAAiAAAAZHJzL2Rvd25yZXYueG1sUEsBAhQAFAAAAAgAh07iQAgbI8YOAgAABQQAAA4AAAAA&#10;AAAAAQAgAAAAKQEAAGRycy9lMm9Eb2MueG1sUEsFBgAAAAAGAAYAWQEAAKkFAAAAAA==&#10;">
              <v:fill on="f" focussize="0,0"/>
              <v:stroke on="f"/>
              <v:imagedata o:title=""/>
              <o:lock v:ext="edit" aspectratio="f"/>
              <v:textbox inset="0mm,0mm,0mm,0mm">
                <w:txbxContent>
                  <w:p w14:paraId="32C14605">
                    <w:pPr>
                      <w:kinsoku w:val="0"/>
                      <w:overflowPunct w:val="0"/>
                      <w:spacing w:line="200" w:lineRule="exact"/>
                      <w:jc w:val="center"/>
                      <w:rPr>
                        <w:rFonts w:hint="default" w:ascii="黑体" w:hAnsi="黑体" w:eastAsia="黑体"/>
                        <w:sz w:val="21"/>
                        <w:lang w:val="en-US" w:eastAsia="zh-CN"/>
                      </w:rPr>
                    </w:pPr>
                    <w:r>
                      <w:rPr>
                        <w:rFonts w:hint="eastAsia" w:ascii="黑体" w:hAnsi="黑体" w:eastAsia="黑体"/>
                        <w:sz w:val="21"/>
                        <w:szCs w:val="21"/>
                      </w:rPr>
                      <w:t>JJF（皖）XX</w:t>
                    </w:r>
                    <w:r>
                      <w:rPr>
                        <w:rFonts w:hint="eastAsia" w:ascii="黑体" w:hAnsi="黑体" w:eastAsia="黑体"/>
                        <w:sz w:val="21"/>
                        <w:szCs w:val="21"/>
                        <w:lang w:val="en-US" w:eastAsia="zh-CN"/>
                      </w:rPr>
                      <w:t>X</w:t>
                    </w:r>
                    <w:r>
                      <w:rPr>
                        <w:rFonts w:hint="eastAsia" w:ascii="黑体" w:hAnsi="黑体" w:eastAsia="黑体"/>
                        <w:sz w:val="21"/>
                        <w:szCs w:val="21"/>
                      </w:rPr>
                      <w:t>—</w:t>
                    </w:r>
                    <w:r>
                      <w:rPr>
                        <w:rFonts w:hint="eastAsia" w:ascii="黑体" w:hAnsi="黑体" w:eastAsia="黑体"/>
                        <w:sz w:val="21"/>
                        <w:szCs w:val="21"/>
                        <w:lang w:val="en-US" w:eastAsia="zh-CN"/>
                      </w:rPr>
                      <w:t>2025</w:t>
                    </w:r>
                  </w:p>
                  <w:p w14:paraId="133A089B">
                    <w:pPr>
                      <w:rPr>
                        <w:rFonts w:eastAsia="Times New Roman"/>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D5D2C">
    <w:pPr>
      <w:kinsoku w:val="0"/>
      <w:overflowPunct w:val="0"/>
      <w:spacing w:line="200" w:lineRule="exact"/>
      <w:jc w:val="center"/>
      <w:rPr>
        <w:rFonts w:hint="eastAsia" w:ascii="黑体" w:hAnsi="黑体" w:eastAsia="黑体"/>
        <w:sz w:val="21"/>
        <w:szCs w:val="21"/>
      </w:rPr>
    </w:pPr>
    <w:r>
      <w:rPr>
        <w:rFonts w:hint="eastAsia" w:ascii="黑体" w:hAnsi="黑体" w:eastAsia="黑体"/>
        <w:sz w:val="21"/>
        <w:szCs w:val="21"/>
      </w:rPr>
      <w:t>JJF（皖）XX—XXXX</w:t>
    </w:r>
  </w:p>
  <w:p w14:paraId="13842F27">
    <w:pPr>
      <w:kinsoku w:val="0"/>
      <w:overflowPunct w:val="0"/>
      <w:spacing w:line="200" w:lineRule="exact"/>
      <w:jc w:val="both"/>
      <w:rPr>
        <w:rFonts w:hint="default" w:ascii="黑体" w:hAnsi="黑体" w:eastAsia="黑体"/>
        <w:b/>
        <w:bCs/>
        <w:sz w:val="21"/>
        <w:u w:val="single"/>
        <w:lang w:val="en-US" w:eastAsia="zh-CN"/>
      </w:rPr>
    </w:pPr>
    <w:r>
      <w:rPr>
        <w:rFonts w:hint="eastAsia" w:ascii="黑体" w:hAnsi="黑体" w:eastAsia="黑体"/>
        <w:sz w:val="21"/>
        <w:u w:val="single"/>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6B30B">
    <w:pPr>
      <w:kinsoku w:val="0"/>
      <w:overflowPunct w:val="0"/>
      <w:spacing w:line="200" w:lineRule="exact"/>
      <w:jc w:val="both"/>
      <w:rPr>
        <w:rFonts w:hint="default" w:ascii="黑体" w:hAnsi="黑体" w:eastAsia="黑体"/>
        <w:b/>
        <w:bCs/>
        <w:sz w:val="21"/>
        <w:u w:val="single"/>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6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70"/>
      <w:suff w:val="nothing"/>
      <w:lvlText w:val="%1.%2.%3.%4.%5　"/>
      <w:lvlJc w:val="left"/>
      <w:pPr>
        <w:ind w:left="0" w:firstLine="0"/>
      </w:pPr>
      <w:rPr>
        <w:rFonts w:hint="eastAsia" w:ascii="黑体" w:hAnsi="Times New Roman" w:eastAsia="黑体"/>
        <w:b w:val="0"/>
        <w:i w:val="0"/>
        <w:sz w:val="21"/>
      </w:rPr>
    </w:lvl>
    <w:lvl w:ilvl="5" w:tentative="0">
      <w:start w:val="1"/>
      <w:numFmt w:val="decimal"/>
      <w:pStyle w:val="7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720"/>
  <w:drawingGridHorizontalSpacing w:val="2"/>
  <w:drawingGridVerticalSpacing w:val="2"/>
  <w:displayHorizontalDrawingGridEvery w:val="1"/>
  <w:displayVerticalDrawingGridEvery w:val="1"/>
  <w:doNotShadeFormData w:val="1"/>
  <w:noPunctuationKerning w:val="1"/>
  <w:characterSpacingControl w:val="doNotCompress"/>
  <w:noLineBreaksAfter w:lang="zh-CN" w:val="([{·‘“〈《「『【〔〖（．［｛￡￥"/>
  <w:noLineBreaksBefore w:lang="zh-CN" w:val="!),.:;?]}¨·ˇˉ―‖’”…∶、。〃々〉》」』】〕〗！＂＇），．：；？］｀｜｝～￠"/>
  <w:doNotValidateAgainstSchema/>
  <w:doNotDemarcateInvalidXml/>
  <w:hdrShapeDefaults>
    <o:shapelayout v:ext="edit">
      <o:idmap v:ext="edit" data="2"/>
    </o:shapelayout>
  </w:hdrShapeDefaults>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3YmQ0OGMwZjJjODM3MDUwMTkzMzJhMjhmNzRhMDAifQ=="/>
  </w:docVars>
  <w:rsids>
    <w:rsidRoot w:val="00E1437A"/>
    <w:rsid w:val="0000153D"/>
    <w:rsid w:val="00001650"/>
    <w:rsid w:val="000039F4"/>
    <w:rsid w:val="00007587"/>
    <w:rsid w:val="00011708"/>
    <w:rsid w:val="00012F49"/>
    <w:rsid w:val="00017E05"/>
    <w:rsid w:val="00020D87"/>
    <w:rsid w:val="0002480B"/>
    <w:rsid w:val="0002555D"/>
    <w:rsid w:val="00025C9F"/>
    <w:rsid w:val="000265CE"/>
    <w:rsid w:val="000300D2"/>
    <w:rsid w:val="00032213"/>
    <w:rsid w:val="00033059"/>
    <w:rsid w:val="00034C57"/>
    <w:rsid w:val="00036D40"/>
    <w:rsid w:val="0004273C"/>
    <w:rsid w:val="00042E2E"/>
    <w:rsid w:val="00043132"/>
    <w:rsid w:val="00043B51"/>
    <w:rsid w:val="00043DFD"/>
    <w:rsid w:val="0004733C"/>
    <w:rsid w:val="0005186E"/>
    <w:rsid w:val="00052701"/>
    <w:rsid w:val="0005467E"/>
    <w:rsid w:val="000559A9"/>
    <w:rsid w:val="00057E4E"/>
    <w:rsid w:val="00060E40"/>
    <w:rsid w:val="00061D08"/>
    <w:rsid w:val="00066B55"/>
    <w:rsid w:val="000676EA"/>
    <w:rsid w:val="000775EC"/>
    <w:rsid w:val="00080957"/>
    <w:rsid w:val="000819BD"/>
    <w:rsid w:val="00083062"/>
    <w:rsid w:val="00086707"/>
    <w:rsid w:val="000920CE"/>
    <w:rsid w:val="00095580"/>
    <w:rsid w:val="00095B1D"/>
    <w:rsid w:val="00096D90"/>
    <w:rsid w:val="000A2A86"/>
    <w:rsid w:val="000A4704"/>
    <w:rsid w:val="000A5C8F"/>
    <w:rsid w:val="000A7293"/>
    <w:rsid w:val="000B244E"/>
    <w:rsid w:val="000B40D1"/>
    <w:rsid w:val="000B43DC"/>
    <w:rsid w:val="000C169F"/>
    <w:rsid w:val="000C2D1E"/>
    <w:rsid w:val="000C3BDF"/>
    <w:rsid w:val="000D1370"/>
    <w:rsid w:val="000D324F"/>
    <w:rsid w:val="000D3273"/>
    <w:rsid w:val="000D415B"/>
    <w:rsid w:val="000D45DF"/>
    <w:rsid w:val="000D629B"/>
    <w:rsid w:val="000E00C3"/>
    <w:rsid w:val="000E3A57"/>
    <w:rsid w:val="000E49E2"/>
    <w:rsid w:val="000E605C"/>
    <w:rsid w:val="000E612D"/>
    <w:rsid w:val="000F13E4"/>
    <w:rsid w:val="001018F5"/>
    <w:rsid w:val="00101984"/>
    <w:rsid w:val="00101E05"/>
    <w:rsid w:val="00104AB3"/>
    <w:rsid w:val="00112723"/>
    <w:rsid w:val="00114435"/>
    <w:rsid w:val="00116CAC"/>
    <w:rsid w:val="001200F2"/>
    <w:rsid w:val="001242F2"/>
    <w:rsid w:val="00124362"/>
    <w:rsid w:val="00124F8E"/>
    <w:rsid w:val="0012635E"/>
    <w:rsid w:val="00132F04"/>
    <w:rsid w:val="00133E97"/>
    <w:rsid w:val="001350FF"/>
    <w:rsid w:val="0013583C"/>
    <w:rsid w:val="00137B45"/>
    <w:rsid w:val="001440C9"/>
    <w:rsid w:val="00144D75"/>
    <w:rsid w:val="001505C1"/>
    <w:rsid w:val="00154329"/>
    <w:rsid w:val="00154603"/>
    <w:rsid w:val="00163D10"/>
    <w:rsid w:val="001643AA"/>
    <w:rsid w:val="00165973"/>
    <w:rsid w:val="00165CE0"/>
    <w:rsid w:val="00165D03"/>
    <w:rsid w:val="00165F81"/>
    <w:rsid w:val="001729EB"/>
    <w:rsid w:val="00176221"/>
    <w:rsid w:val="00177B1D"/>
    <w:rsid w:val="00181AFE"/>
    <w:rsid w:val="00193454"/>
    <w:rsid w:val="00194504"/>
    <w:rsid w:val="00196648"/>
    <w:rsid w:val="001A4BDF"/>
    <w:rsid w:val="001A79A5"/>
    <w:rsid w:val="001B5EC2"/>
    <w:rsid w:val="001B7FB5"/>
    <w:rsid w:val="001C387F"/>
    <w:rsid w:val="001C4B09"/>
    <w:rsid w:val="001C509A"/>
    <w:rsid w:val="001C50B7"/>
    <w:rsid w:val="001C60E3"/>
    <w:rsid w:val="001C7EDD"/>
    <w:rsid w:val="001D0A25"/>
    <w:rsid w:val="001D3AA7"/>
    <w:rsid w:val="001D79ED"/>
    <w:rsid w:val="001E22F3"/>
    <w:rsid w:val="001E4CF6"/>
    <w:rsid w:val="001E7226"/>
    <w:rsid w:val="001E7DF7"/>
    <w:rsid w:val="001F2099"/>
    <w:rsid w:val="001F2337"/>
    <w:rsid w:val="001F234F"/>
    <w:rsid w:val="001F3F76"/>
    <w:rsid w:val="001F44CE"/>
    <w:rsid w:val="001F5E67"/>
    <w:rsid w:val="00200C83"/>
    <w:rsid w:val="0020348E"/>
    <w:rsid w:val="002037B9"/>
    <w:rsid w:val="0020438A"/>
    <w:rsid w:val="00205CEE"/>
    <w:rsid w:val="00207D42"/>
    <w:rsid w:val="00214281"/>
    <w:rsid w:val="00220B92"/>
    <w:rsid w:val="002232B1"/>
    <w:rsid w:val="00223964"/>
    <w:rsid w:val="00223B3A"/>
    <w:rsid w:val="00224E0E"/>
    <w:rsid w:val="0023471C"/>
    <w:rsid w:val="00234988"/>
    <w:rsid w:val="00236694"/>
    <w:rsid w:val="00237B06"/>
    <w:rsid w:val="002403D7"/>
    <w:rsid w:val="00242681"/>
    <w:rsid w:val="002427A0"/>
    <w:rsid w:val="002427C9"/>
    <w:rsid w:val="00243E7C"/>
    <w:rsid w:val="00245411"/>
    <w:rsid w:val="002460E3"/>
    <w:rsid w:val="00247C02"/>
    <w:rsid w:val="00251121"/>
    <w:rsid w:val="002525C0"/>
    <w:rsid w:val="002539BE"/>
    <w:rsid w:val="0025659D"/>
    <w:rsid w:val="00256802"/>
    <w:rsid w:val="00260F76"/>
    <w:rsid w:val="002630BE"/>
    <w:rsid w:val="00263D16"/>
    <w:rsid w:val="002652D7"/>
    <w:rsid w:val="002661EE"/>
    <w:rsid w:val="002664C3"/>
    <w:rsid w:val="00266807"/>
    <w:rsid w:val="00266C40"/>
    <w:rsid w:val="002700FD"/>
    <w:rsid w:val="00271C17"/>
    <w:rsid w:val="00271ED1"/>
    <w:rsid w:val="00274577"/>
    <w:rsid w:val="0027743B"/>
    <w:rsid w:val="00280F6B"/>
    <w:rsid w:val="00285B69"/>
    <w:rsid w:val="00285BFB"/>
    <w:rsid w:val="00285F8B"/>
    <w:rsid w:val="002874CC"/>
    <w:rsid w:val="002902EF"/>
    <w:rsid w:val="0029127B"/>
    <w:rsid w:val="002944D1"/>
    <w:rsid w:val="00294D01"/>
    <w:rsid w:val="002A0DF8"/>
    <w:rsid w:val="002A14BE"/>
    <w:rsid w:val="002A176D"/>
    <w:rsid w:val="002A2895"/>
    <w:rsid w:val="002A3A34"/>
    <w:rsid w:val="002A589F"/>
    <w:rsid w:val="002A5E62"/>
    <w:rsid w:val="002A72BF"/>
    <w:rsid w:val="002B3061"/>
    <w:rsid w:val="002B77D9"/>
    <w:rsid w:val="002C0142"/>
    <w:rsid w:val="002C3BFF"/>
    <w:rsid w:val="002C6C7D"/>
    <w:rsid w:val="002D08C4"/>
    <w:rsid w:val="002D5C07"/>
    <w:rsid w:val="002D5C62"/>
    <w:rsid w:val="002D6ACB"/>
    <w:rsid w:val="002D7E6C"/>
    <w:rsid w:val="002E2C89"/>
    <w:rsid w:val="002E344C"/>
    <w:rsid w:val="002E3E14"/>
    <w:rsid w:val="002F04B6"/>
    <w:rsid w:val="002F26FE"/>
    <w:rsid w:val="002F2D5B"/>
    <w:rsid w:val="002F45F9"/>
    <w:rsid w:val="00300529"/>
    <w:rsid w:val="00300B0E"/>
    <w:rsid w:val="00301906"/>
    <w:rsid w:val="003020FF"/>
    <w:rsid w:val="003031D9"/>
    <w:rsid w:val="00303BC2"/>
    <w:rsid w:val="00305017"/>
    <w:rsid w:val="003050AE"/>
    <w:rsid w:val="0030564A"/>
    <w:rsid w:val="003104E0"/>
    <w:rsid w:val="00310C99"/>
    <w:rsid w:val="00311C8E"/>
    <w:rsid w:val="00312EBF"/>
    <w:rsid w:val="0032145D"/>
    <w:rsid w:val="003220AC"/>
    <w:rsid w:val="00322191"/>
    <w:rsid w:val="003224D6"/>
    <w:rsid w:val="003233D9"/>
    <w:rsid w:val="00327762"/>
    <w:rsid w:val="00330B81"/>
    <w:rsid w:val="00331A9A"/>
    <w:rsid w:val="00335ACE"/>
    <w:rsid w:val="00335D62"/>
    <w:rsid w:val="00336D46"/>
    <w:rsid w:val="00336E64"/>
    <w:rsid w:val="003428EE"/>
    <w:rsid w:val="00343FA0"/>
    <w:rsid w:val="0034710A"/>
    <w:rsid w:val="0035011D"/>
    <w:rsid w:val="00351CAB"/>
    <w:rsid w:val="003536B5"/>
    <w:rsid w:val="003538AB"/>
    <w:rsid w:val="00353E9B"/>
    <w:rsid w:val="003575A6"/>
    <w:rsid w:val="00360D92"/>
    <w:rsid w:val="00361652"/>
    <w:rsid w:val="00361CFC"/>
    <w:rsid w:val="003626B8"/>
    <w:rsid w:val="003633A0"/>
    <w:rsid w:val="00363F0C"/>
    <w:rsid w:val="00365511"/>
    <w:rsid w:val="00365F6C"/>
    <w:rsid w:val="00370C12"/>
    <w:rsid w:val="00372423"/>
    <w:rsid w:val="003736E9"/>
    <w:rsid w:val="00374EFA"/>
    <w:rsid w:val="0037554E"/>
    <w:rsid w:val="003757CE"/>
    <w:rsid w:val="003763A2"/>
    <w:rsid w:val="0037659A"/>
    <w:rsid w:val="00376E1A"/>
    <w:rsid w:val="003779AE"/>
    <w:rsid w:val="00377C1F"/>
    <w:rsid w:val="00380D37"/>
    <w:rsid w:val="00382764"/>
    <w:rsid w:val="0038354D"/>
    <w:rsid w:val="003853BC"/>
    <w:rsid w:val="003871C8"/>
    <w:rsid w:val="00390BCD"/>
    <w:rsid w:val="003933BF"/>
    <w:rsid w:val="00395EB3"/>
    <w:rsid w:val="00396723"/>
    <w:rsid w:val="003A0976"/>
    <w:rsid w:val="003A58AE"/>
    <w:rsid w:val="003A670F"/>
    <w:rsid w:val="003B024D"/>
    <w:rsid w:val="003B0325"/>
    <w:rsid w:val="003B05DA"/>
    <w:rsid w:val="003B0E9D"/>
    <w:rsid w:val="003B2AAD"/>
    <w:rsid w:val="003B68BB"/>
    <w:rsid w:val="003B6911"/>
    <w:rsid w:val="003C2CAD"/>
    <w:rsid w:val="003C4302"/>
    <w:rsid w:val="003C70DB"/>
    <w:rsid w:val="003C72DC"/>
    <w:rsid w:val="003C75A5"/>
    <w:rsid w:val="003C7B35"/>
    <w:rsid w:val="003D0B53"/>
    <w:rsid w:val="003D1940"/>
    <w:rsid w:val="003D3D53"/>
    <w:rsid w:val="003E1D5B"/>
    <w:rsid w:val="003E2FB6"/>
    <w:rsid w:val="003E5F6F"/>
    <w:rsid w:val="003E624D"/>
    <w:rsid w:val="003F004D"/>
    <w:rsid w:val="003F29B0"/>
    <w:rsid w:val="003F5779"/>
    <w:rsid w:val="004002B3"/>
    <w:rsid w:val="00400926"/>
    <w:rsid w:val="00402D06"/>
    <w:rsid w:val="00402DBF"/>
    <w:rsid w:val="00402EA8"/>
    <w:rsid w:val="00404C35"/>
    <w:rsid w:val="00405459"/>
    <w:rsid w:val="0040775E"/>
    <w:rsid w:val="00411E64"/>
    <w:rsid w:val="0041441F"/>
    <w:rsid w:val="00415E84"/>
    <w:rsid w:val="00415EA6"/>
    <w:rsid w:val="004255E6"/>
    <w:rsid w:val="00426CBE"/>
    <w:rsid w:val="00426DCB"/>
    <w:rsid w:val="00427E47"/>
    <w:rsid w:val="0043068E"/>
    <w:rsid w:val="00432CFD"/>
    <w:rsid w:val="00432E9C"/>
    <w:rsid w:val="00434663"/>
    <w:rsid w:val="00434CB0"/>
    <w:rsid w:val="004357DD"/>
    <w:rsid w:val="00436A45"/>
    <w:rsid w:val="0044289A"/>
    <w:rsid w:val="00443CEE"/>
    <w:rsid w:val="0044434E"/>
    <w:rsid w:val="00451001"/>
    <w:rsid w:val="004515EC"/>
    <w:rsid w:val="00451D58"/>
    <w:rsid w:val="00460699"/>
    <w:rsid w:val="00461B2F"/>
    <w:rsid w:val="004639A0"/>
    <w:rsid w:val="00464BAD"/>
    <w:rsid w:val="004652DB"/>
    <w:rsid w:val="0046598D"/>
    <w:rsid w:val="00465A45"/>
    <w:rsid w:val="00465DC6"/>
    <w:rsid w:val="0046643B"/>
    <w:rsid w:val="00470A4F"/>
    <w:rsid w:val="004762D5"/>
    <w:rsid w:val="00476D59"/>
    <w:rsid w:val="00482984"/>
    <w:rsid w:val="0048418B"/>
    <w:rsid w:val="004903B0"/>
    <w:rsid w:val="00493512"/>
    <w:rsid w:val="004952EE"/>
    <w:rsid w:val="004A0161"/>
    <w:rsid w:val="004A1A13"/>
    <w:rsid w:val="004A244B"/>
    <w:rsid w:val="004A2A5A"/>
    <w:rsid w:val="004A3639"/>
    <w:rsid w:val="004A380C"/>
    <w:rsid w:val="004A5A03"/>
    <w:rsid w:val="004A5F5E"/>
    <w:rsid w:val="004B07CB"/>
    <w:rsid w:val="004B0D3B"/>
    <w:rsid w:val="004B19A3"/>
    <w:rsid w:val="004B3A6A"/>
    <w:rsid w:val="004B4D1B"/>
    <w:rsid w:val="004B6E30"/>
    <w:rsid w:val="004B7E7C"/>
    <w:rsid w:val="004C46CD"/>
    <w:rsid w:val="004C4805"/>
    <w:rsid w:val="004C7D13"/>
    <w:rsid w:val="004D406B"/>
    <w:rsid w:val="004D5AB0"/>
    <w:rsid w:val="004D5F80"/>
    <w:rsid w:val="004E02B0"/>
    <w:rsid w:val="004E0450"/>
    <w:rsid w:val="004E076C"/>
    <w:rsid w:val="004E0F6A"/>
    <w:rsid w:val="004E36C8"/>
    <w:rsid w:val="004E3A31"/>
    <w:rsid w:val="004E4781"/>
    <w:rsid w:val="004F1CFB"/>
    <w:rsid w:val="004F1EF6"/>
    <w:rsid w:val="004F1F4C"/>
    <w:rsid w:val="004F2CDF"/>
    <w:rsid w:val="004F3000"/>
    <w:rsid w:val="004F4AF5"/>
    <w:rsid w:val="004F65F4"/>
    <w:rsid w:val="004F74C3"/>
    <w:rsid w:val="005026C9"/>
    <w:rsid w:val="00503063"/>
    <w:rsid w:val="00504A17"/>
    <w:rsid w:val="00506BE4"/>
    <w:rsid w:val="0051148B"/>
    <w:rsid w:val="00515614"/>
    <w:rsid w:val="00516D34"/>
    <w:rsid w:val="00517B64"/>
    <w:rsid w:val="00523596"/>
    <w:rsid w:val="00526F83"/>
    <w:rsid w:val="0052781A"/>
    <w:rsid w:val="00532584"/>
    <w:rsid w:val="0054089F"/>
    <w:rsid w:val="0054339A"/>
    <w:rsid w:val="00543798"/>
    <w:rsid w:val="00546C25"/>
    <w:rsid w:val="00546F33"/>
    <w:rsid w:val="005501BE"/>
    <w:rsid w:val="00554BE6"/>
    <w:rsid w:val="0055603D"/>
    <w:rsid w:val="00556315"/>
    <w:rsid w:val="00561677"/>
    <w:rsid w:val="00564873"/>
    <w:rsid w:val="0056531E"/>
    <w:rsid w:val="0056533F"/>
    <w:rsid w:val="00565D0E"/>
    <w:rsid w:val="00565EDD"/>
    <w:rsid w:val="00566C35"/>
    <w:rsid w:val="00570D3B"/>
    <w:rsid w:val="00571150"/>
    <w:rsid w:val="00571E01"/>
    <w:rsid w:val="005729AA"/>
    <w:rsid w:val="0057374C"/>
    <w:rsid w:val="00573D62"/>
    <w:rsid w:val="0058168C"/>
    <w:rsid w:val="00581AFE"/>
    <w:rsid w:val="00582139"/>
    <w:rsid w:val="0058356B"/>
    <w:rsid w:val="0058449E"/>
    <w:rsid w:val="00585A35"/>
    <w:rsid w:val="00587E0C"/>
    <w:rsid w:val="005924E4"/>
    <w:rsid w:val="0059259C"/>
    <w:rsid w:val="00593134"/>
    <w:rsid w:val="0059398F"/>
    <w:rsid w:val="00594F15"/>
    <w:rsid w:val="00596322"/>
    <w:rsid w:val="005979DD"/>
    <w:rsid w:val="005A2A81"/>
    <w:rsid w:val="005B0574"/>
    <w:rsid w:val="005B66A7"/>
    <w:rsid w:val="005B7876"/>
    <w:rsid w:val="005C2CB3"/>
    <w:rsid w:val="005C467F"/>
    <w:rsid w:val="005C77B0"/>
    <w:rsid w:val="005D2F4A"/>
    <w:rsid w:val="005D5AEF"/>
    <w:rsid w:val="005E486F"/>
    <w:rsid w:val="005E52C6"/>
    <w:rsid w:val="005E7642"/>
    <w:rsid w:val="005F0BB0"/>
    <w:rsid w:val="005F29BB"/>
    <w:rsid w:val="005F68B1"/>
    <w:rsid w:val="005F6D91"/>
    <w:rsid w:val="005F7127"/>
    <w:rsid w:val="005F7850"/>
    <w:rsid w:val="00600DF8"/>
    <w:rsid w:val="00602253"/>
    <w:rsid w:val="006030B0"/>
    <w:rsid w:val="00603433"/>
    <w:rsid w:val="00606E94"/>
    <w:rsid w:val="00607789"/>
    <w:rsid w:val="006116CD"/>
    <w:rsid w:val="00612313"/>
    <w:rsid w:val="00614851"/>
    <w:rsid w:val="006156E8"/>
    <w:rsid w:val="006166F3"/>
    <w:rsid w:val="00616735"/>
    <w:rsid w:val="006247A1"/>
    <w:rsid w:val="00624B20"/>
    <w:rsid w:val="00625408"/>
    <w:rsid w:val="006306D7"/>
    <w:rsid w:val="00637CE6"/>
    <w:rsid w:val="00642731"/>
    <w:rsid w:val="00642830"/>
    <w:rsid w:val="00644766"/>
    <w:rsid w:val="00644A9D"/>
    <w:rsid w:val="00645395"/>
    <w:rsid w:val="00652365"/>
    <w:rsid w:val="00657291"/>
    <w:rsid w:val="006609D9"/>
    <w:rsid w:val="00662B58"/>
    <w:rsid w:val="00662E22"/>
    <w:rsid w:val="00663CAE"/>
    <w:rsid w:val="00672818"/>
    <w:rsid w:val="00672A32"/>
    <w:rsid w:val="00675945"/>
    <w:rsid w:val="00676B18"/>
    <w:rsid w:val="00677A41"/>
    <w:rsid w:val="006812E3"/>
    <w:rsid w:val="00681E90"/>
    <w:rsid w:val="00682521"/>
    <w:rsid w:val="00686654"/>
    <w:rsid w:val="006866F4"/>
    <w:rsid w:val="00687956"/>
    <w:rsid w:val="00687BB0"/>
    <w:rsid w:val="006913A4"/>
    <w:rsid w:val="00693085"/>
    <w:rsid w:val="006931CB"/>
    <w:rsid w:val="00694F56"/>
    <w:rsid w:val="0069621A"/>
    <w:rsid w:val="00696B55"/>
    <w:rsid w:val="006A06E9"/>
    <w:rsid w:val="006A0EC5"/>
    <w:rsid w:val="006A21A8"/>
    <w:rsid w:val="006A3223"/>
    <w:rsid w:val="006A49B0"/>
    <w:rsid w:val="006A4F75"/>
    <w:rsid w:val="006B0E5D"/>
    <w:rsid w:val="006B10E8"/>
    <w:rsid w:val="006B563A"/>
    <w:rsid w:val="006B73CE"/>
    <w:rsid w:val="006C0733"/>
    <w:rsid w:val="006C1CEC"/>
    <w:rsid w:val="006C437D"/>
    <w:rsid w:val="006C7310"/>
    <w:rsid w:val="006D0E8A"/>
    <w:rsid w:val="006D14FC"/>
    <w:rsid w:val="006D1731"/>
    <w:rsid w:val="006D1D01"/>
    <w:rsid w:val="006D2ADE"/>
    <w:rsid w:val="006D3ABE"/>
    <w:rsid w:val="006D5CF9"/>
    <w:rsid w:val="006D6657"/>
    <w:rsid w:val="006E047F"/>
    <w:rsid w:val="006E1022"/>
    <w:rsid w:val="006E109B"/>
    <w:rsid w:val="006E22CF"/>
    <w:rsid w:val="006E7B10"/>
    <w:rsid w:val="006E7D5B"/>
    <w:rsid w:val="006F0FAD"/>
    <w:rsid w:val="006F2865"/>
    <w:rsid w:val="006F34CA"/>
    <w:rsid w:val="006F6620"/>
    <w:rsid w:val="00701725"/>
    <w:rsid w:val="00706CE5"/>
    <w:rsid w:val="00711801"/>
    <w:rsid w:val="00713011"/>
    <w:rsid w:val="00714879"/>
    <w:rsid w:val="007235E2"/>
    <w:rsid w:val="00731F7E"/>
    <w:rsid w:val="00734E45"/>
    <w:rsid w:val="00736198"/>
    <w:rsid w:val="007372E6"/>
    <w:rsid w:val="00737844"/>
    <w:rsid w:val="00740453"/>
    <w:rsid w:val="00741AE5"/>
    <w:rsid w:val="00744B19"/>
    <w:rsid w:val="00744F76"/>
    <w:rsid w:val="007470E2"/>
    <w:rsid w:val="00750C82"/>
    <w:rsid w:val="00750D6F"/>
    <w:rsid w:val="00751F6A"/>
    <w:rsid w:val="0075270E"/>
    <w:rsid w:val="00752EB6"/>
    <w:rsid w:val="00753040"/>
    <w:rsid w:val="00754D8D"/>
    <w:rsid w:val="00757944"/>
    <w:rsid w:val="00760FE8"/>
    <w:rsid w:val="00761023"/>
    <w:rsid w:val="00761E5F"/>
    <w:rsid w:val="00763CCF"/>
    <w:rsid w:val="007643E6"/>
    <w:rsid w:val="0076476F"/>
    <w:rsid w:val="007665EE"/>
    <w:rsid w:val="00766C9B"/>
    <w:rsid w:val="00770D1D"/>
    <w:rsid w:val="00772458"/>
    <w:rsid w:val="00772589"/>
    <w:rsid w:val="0077546D"/>
    <w:rsid w:val="007777FC"/>
    <w:rsid w:val="007804FB"/>
    <w:rsid w:val="00780AB4"/>
    <w:rsid w:val="00780B86"/>
    <w:rsid w:val="00781D95"/>
    <w:rsid w:val="00782465"/>
    <w:rsid w:val="00782E31"/>
    <w:rsid w:val="00783EBE"/>
    <w:rsid w:val="007846F3"/>
    <w:rsid w:val="00785598"/>
    <w:rsid w:val="007903A0"/>
    <w:rsid w:val="00790D98"/>
    <w:rsid w:val="00793056"/>
    <w:rsid w:val="00793825"/>
    <w:rsid w:val="00794204"/>
    <w:rsid w:val="00795441"/>
    <w:rsid w:val="00796CD4"/>
    <w:rsid w:val="007975EE"/>
    <w:rsid w:val="00797D04"/>
    <w:rsid w:val="007A1034"/>
    <w:rsid w:val="007A1BB6"/>
    <w:rsid w:val="007B107F"/>
    <w:rsid w:val="007B460F"/>
    <w:rsid w:val="007B5E96"/>
    <w:rsid w:val="007C38A7"/>
    <w:rsid w:val="007C6A91"/>
    <w:rsid w:val="007D0B2B"/>
    <w:rsid w:val="007D10FA"/>
    <w:rsid w:val="007D14FA"/>
    <w:rsid w:val="007D22BF"/>
    <w:rsid w:val="007D446F"/>
    <w:rsid w:val="007D4827"/>
    <w:rsid w:val="007D5052"/>
    <w:rsid w:val="007D5287"/>
    <w:rsid w:val="007D6389"/>
    <w:rsid w:val="007D77AA"/>
    <w:rsid w:val="007E606F"/>
    <w:rsid w:val="007E6888"/>
    <w:rsid w:val="007E6E2E"/>
    <w:rsid w:val="007F1297"/>
    <w:rsid w:val="007F36A5"/>
    <w:rsid w:val="007F6FBC"/>
    <w:rsid w:val="00800581"/>
    <w:rsid w:val="00806F02"/>
    <w:rsid w:val="00810298"/>
    <w:rsid w:val="0081038D"/>
    <w:rsid w:val="00812B6D"/>
    <w:rsid w:val="0081425C"/>
    <w:rsid w:val="00814A1D"/>
    <w:rsid w:val="00816C8E"/>
    <w:rsid w:val="00817AB9"/>
    <w:rsid w:val="008303FC"/>
    <w:rsid w:val="00832F1D"/>
    <w:rsid w:val="00833201"/>
    <w:rsid w:val="00834BD5"/>
    <w:rsid w:val="00836958"/>
    <w:rsid w:val="00837A3C"/>
    <w:rsid w:val="00843A9A"/>
    <w:rsid w:val="00845270"/>
    <w:rsid w:val="00847407"/>
    <w:rsid w:val="0085198A"/>
    <w:rsid w:val="00852C75"/>
    <w:rsid w:val="00853252"/>
    <w:rsid w:val="008576FA"/>
    <w:rsid w:val="008601B9"/>
    <w:rsid w:val="00870E1A"/>
    <w:rsid w:val="008714E1"/>
    <w:rsid w:val="008736C4"/>
    <w:rsid w:val="00873D13"/>
    <w:rsid w:val="00874899"/>
    <w:rsid w:val="008750DE"/>
    <w:rsid w:val="00880360"/>
    <w:rsid w:val="00882BF5"/>
    <w:rsid w:val="00883239"/>
    <w:rsid w:val="00883FF9"/>
    <w:rsid w:val="00890395"/>
    <w:rsid w:val="00895B35"/>
    <w:rsid w:val="008964A6"/>
    <w:rsid w:val="00897BAB"/>
    <w:rsid w:val="008A172A"/>
    <w:rsid w:val="008A54E1"/>
    <w:rsid w:val="008A6404"/>
    <w:rsid w:val="008B0D5C"/>
    <w:rsid w:val="008B225C"/>
    <w:rsid w:val="008B5B18"/>
    <w:rsid w:val="008B6103"/>
    <w:rsid w:val="008B6A5E"/>
    <w:rsid w:val="008B6B0C"/>
    <w:rsid w:val="008B6CA6"/>
    <w:rsid w:val="008B7A98"/>
    <w:rsid w:val="008C5955"/>
    <w:rsid w:val="008C7214"/>
    <w:rsid w:val="008D1776"/>
    <w:rsid w:val="008D3DA8"/>
    <w:rsid w:val="008D3F6E"/>
    <w:rsid w:val="008D4599"/>
    <w:rsid w:val="008D46D5"/>
    <w:rsid w:val="008D573A"/>
    <w:rsid w:val="008D6061"/>
    <w:rsid w:val="008D67FA"/>
    <w:rsid w:val="008D7878"/>
    <w:rsid w:val="008E2C98"/>
    <w:rsid w:val="008E36F0"/>
    <w:rsid w:val="008E54C5"/>
    <w:rsid w:val="008E5DA8"/>
    <w:rsid w:val="008E71F5"/>
    <w:rsid w:val="008F2EDC"/>
    <w:rsid w:val="008F3F75"/>
    <w:rsid w:val="008F5A6B"/>
    <w:rsid w:val="008F5D35"/>
    <w:rsid w:val="008F64C9"/>
    <w:rsid w:val="00901611"/>
    <w:rsid w:val="00902BA4"/>
    <w:rsid w:val="00902E0E"/>
    <w:rsid w:val="0090344C"/>
    <w:rsid w:val="0090410E"/>
    <w:rsid w:val="00905402"/>
    <w:rsid w:val="00905791"/>
    <w:rsid w:val="009069CC"/>
    <w:rsid w:val="00910887"/>
    <w:rsid w:val="00913507"/>
    <w:rsid w:val="009164A7"/>
    <w:rsid w:val="00916C7B"/>
    <w:rsid w:val="00922B30"/>
    <w:rsid w:val="00923B1E"/>
    <w:rsid w:val="00923EB1"/>
    <w:rsid w:val="009268AF"/>
    <w:rsid w:val="00926D85"/>
    <w:rsid w:val="009324E6"/>
    <w:rsid w:val="009332FB"/>
    <w:rsid w:val="00934785"/>
    <w:rsid w:val="0093601D"/>
    <w:rsid w:val="009403A3"/>
    <w:rsid w:val="00941B39"/>
    <w:rsid w:val="009438E1"/>
    <w:rsid w:val="00944467"/>
    <w:rsid w:val="00944C2F"/>
    <w:rsid w:val="00944D96"/>
    <w:rsid w:val="009450A7"/>
    <w:rsid w:val="00946D10"/>
    <w:rsid w:val="00954388"/>
    <w:rsid w:val="00956678"/>
    <w:rsid w:val="00970B08"/>
    <w:rsid w:val="0097125C"/>
    <w:rsid w:val="009718C9"/>
    <w:rsid w:val="00974202"/>
    <w:rsid w:val="00975EA0"/>
    <w:rsid w:val="00985334"/>
    <w:rsid w:val="00987895"/>
    <w:rsid w:val="009917F0"/>
    <w:rsid w:val="00991962"/>
    <w:rsid w:val="0099390A"/>
    <w:rsid w:val="009A1912"/>
    <w:rsid w:val="009A2494"/>
    <w:rsid w:val="009A2581"/>
    <w:rsid w:val="009A400F"/>
    <w:rsid w:val="009A4A91"/>
    <w:rsid w:val="009A5C90"/>
    <w:rsid w:val="009A7C82"/>
    <w:rsid w:val="009C68AB"/>
    <w:rsid w:val="009C7176"/>
    <w:rsid w:val="009C76EB"/>
    <w:rsid w:val="009D0074"/>
    <w:rsid w:val="009D0DDA"/>
    <w:rsid w:val="009D34BB"/>
    <w:rsid w:val="009E1185"/>
    <w:rsid w:val="009F2C4E"/>
    <w:rsid w:val="009F5131"/>
    <w:rsid w:val="009F75B0"/>
    <w:rsid w:val="00A00855"/>
    <w:rsid w:val="00A04111"/>
    <w:rsid w:val="00A04ECF"/>
    <w:rsid w:val="00A05A57"/>
    <w:rsid w:val="00A11D41"/>
    <w:rsid w:val="00A11EE9"/>
    <w:rsid w:val="00A143A1"/>
    <w:rsid w:val="00A1580D"/>
    <w:rsid w:val="00A16838"/>
    <w:rsid w:val="00A1691E"/>
    <w:rsid w:val="00A213F8"/>
    <w:rsid w:val="00A224E6"/>
    <w:rsid w:val="00A22C6B"/>
    <w:rsid w:val="00A252B9"/>
    <w:rsid w:val="00A2733F"/>
    <w:rsid w:val="00A30822"/>
    <w:rsid w:val="00A317A5"/>
    <w:rsid w:val="00A31AF6"/>
    <w:rsid w:val="00A333A8"/>
    <w:rsid w:val="00A338AA"/>
    <w:rsid w:val="00A4007B"/>
    <w:rsid w:val="00A40604"/>
    <w:rsid w:val="00A40802"/>
    <w:rsid w:val="00A4222A"/>
    <w:rsid w:val="00A42D29"/>
    <w:rsid w:val="00A431B5"/>
    <w:rsid w:val="00A43E16"/>
    <w:rsid w:val="00A44871"/>
    <w:rsid w:val="00A50572"/>
    <w:rsid w:val="00A5361C"/>
    <w:rsid w:val="00A564C5"/>
    <w:rsid w:val="00A578A4"/>
    <w:rsid w:val="00A57CA9"/>
    <w:rsid w:val="00A670FB"/>
    <w:rsid w:val="00A72572"/>
    <w:rsid w:val="00A725BF"/>
    <w:rsid w:val="00A75820"/>
    <w:rsid w:val="00A75982"/>
    <w:rsid w:val="00A75D72"/>
    <w:rsid w:val="00A75FB3"/>
    <w:rsid w:val="00A76B56"/>
    <w:rsid w:val="00A772E8"/>
    <w:rsid w:val="00A832B4"/>
    <w:rsid w:val="00A83DF2"/>
    <w:rsid w:val="00A844CD"/>
    <w:rsid w:val="00A85D99"/>
    <w:rsid w:val="00A951C0"/>
    <w:rsid w:val="00AA089C"/>
    <w:rsid w:val="00AA2D16"/>
    <w:rsid w:val="00AA44DD"/>
    <w:rsid w:val="00AA4C3C"/>
    <w:rsid w:val="00AA4DBF"/>
    <w:rsid w:val="00AA535B"/>
    <w:rsid w:val="00AA60B7"/>
    <w:rsid w:val="00AA75F2"/>
    <w:rsid w:val="00AB0A10"/>
    <w:rsid w:val="00AB6A9F"/>
    <w:rsid w:val="00AB7B54"/>
    <w:rsid w:val="00AC15D3"/>
    <w:rsid w:val="00AC1CB3"/>
    <w:rsid w:val="00AC4945"/>
    <w:rsid w:val="00AC5EE1"/>
    <w:rsid w:val="00AD2F0C"/>
    <w:rsid w:val="00AD338B"/>
    <w:rsid w:val="00AD3981"/>
    <w:rsid w:val="00AD4A5B"/>
    <w:rsid w:val="00AE3B8B"/>
    <w:rsid w:val="00AE5D8B"/>
    <w:rsid w:val="00AF31FF"/>
    <w:rsid w:val="00AF39B8"/>
    <w:rsid w:val="00AF4442"/>
    <w:rsid w:val="00AF5706"/>
    <w:rsid w:val="00AF58F7"/>
    <w:rsid w:val="00AF6297"/>
    <w:rsid w:val="00AF7234"/>
    <w:rsid w:val="00B03515"/>
    <w:rsid w:val="00B0737A"/>
    <w:rsid w:val="00B07A45"/>
    <w:rsid w:val="00B135E0"/>
    <w:rsid w:val="00B161E3"/>
    <w:rsid w:val="00B166A1"/>
    <w:rsid w:val="00B21EF7"/>
    <w:rsid w:val="00B227AD"/>
    <w:rsid w:val="00B24761"/>
    <w:rsid w:val="00B24D93"/>
    <w:rsid w:val="00B27848"/>
    <w:rsid w:val="00B31317"/>
    <w:rsid w:val="00B3301F"/>
    <w:rsid w:val="00B422B2"/>
    <w:rsid w:val="00B47E5B"/>
    <w:rsid w:val="00B50B44"/>
    <w:rsid w:val="00B517E5"/>
    <w:rsid w:val="00B523B6"/>
    <w:rsid w:val="00B53C2A"/>
    <w:rsid w:val="00B53E63"/>
    <w:rsid w:val="00B55414"/>
    <w:rsid w:val="00B558BE"/>
    <w:rsid w:val="00B55C46"/>
    <w:rsid w:val="00B56DCB"/>
    <w:rsid w:val="00B626A9"/>
    <w:rsid w:val="00B62E91"/>
    <w:rsid w:val="00B63135"/>
    <w:rsid w:val="00B652C6"/>
    <w:rsid w:val="00B65334"/>
    <w:rsid w:val="00B6773E"/>
    <w:rsid w:val="00B72ABD"/>
    <w:rsid w:val="00B76554"/>
    <w:rsid w:val="00B8017B"/>
    <w:rsid w:val="00B83838"/>
    <w:rsid w:val="00B83F4F"/>
    <w:rsid w:val="00B840C5"/>
    <w:rsid w:val="00B84D38"/>
    <w:rsid w:val="00B911E3"/>
    <w:rsid w:val="00B91C42"/>
    <w:rsid w:val="00B91F28"/>
    <w:rsid w:val="00B95DBE"/>
    <w:rsid w:val="00B97940"/>
    <w:rsid w:val="00BA0AE6"/>
    <w:rsid w:val="00BA15ED"/>
    <w:rsid w:val="00BA22FF"/>
    <w:rsid w:val="00BA374E"/>
    <w:rsid w:val="00BA796D"/>
    <w:rsid w:val="00BB1532"/>
    <w:rsid w:val="00BB18F1"/>
    <w:rsid w:val="00BB273E"/>
    <w:rsid w:val="00BC0B8E"/>
    <w:rsid w:val="00BC1964"/>
    <w:rsid w:val="00BC196A"/>
    <w:rsid w:val="00BC1F78"/>
    <w:rsid w:val="00BC4822"/>
    <w:rsid w:val="00BC57AB"/>
    <w:rsid w:val="00BD15E8"/>
    <w:rsid w:val="00BD18B1"/>
    <w:rsid w:val="00BD5120"/>
    <w:rsid w:val="00BD5E2E"/>
    <w:rsid w:val="00BD637B"/>
    <w:rsid w:val="00BE1C80"/>
    <w:rsid w:val="00BE1ED9"/>
    <w:rsid w:val="00BE7818"/>
    <w:rsid w:val="00BF1584"/>
    <w:rsid w:val="00BF1D39"/>
    <w:rsid w:val="00BF3216"/>
    <w:rsid w:val="00BF3B2E"/>
    <w:rsid w:val="00BF526D"/>
    <w:rsid w:val="00BF7FBF"/>
    <w:rsid w:val="00C01B31"/>
    <w:rsid w:val="00C02932"/>
    <w:rsid w:val="00C040E0"/>
    <w:rsid w:val="00C06337"/>
    <w:rsid w:val="00C106C8"/>
    <w:rsid w:val="00C10BD1"/>
    <w:rsid w:val="00C11F65"/>
    <w:rsid w:val="00C21304"/>
    <w:rsid w:val="00C26409"/>
    <w:rsid w:val="00C274A4"/>
    <w:rsid w:val="00C3690B"/>
    <w:rsid w:val="00C36DE1"/>
    <w:rsid w:val="00C4085D"/>
    <w:rsid w:val="00C43867"/>
    <w:rsid w:val="00C4388B"/>
    <w:rsid w:val="00C46AB2"/>
    <w:rsid w:val="00C50BCA"/>
    <w:rsid w:val="00C53032"/>
    <w:rsid w:val="00C5400C"/>
    <w:rsid w:val="00C5577B"/>
    <w:rsid w:val="00C60278"/>
    <w:rsid w:val="00C64BCC"/>
    <w:rsid w:val="00C65C13"/>
    <w:rsid w:val="00C66C7D"/>
    <w:rsid w:val="00C679AA"/>
    <w:rsid w:val="00C717CC"/>
    <w:rsid w:val="00C74FB7"/>
    <w:rsid w:val="00C81848"/>
    <w:rsid w:val="00C83331"/>
    <w:rsid w:val="00C85E88"/>
    <w:rsid w:val="00C9329D"/>
    <w:rsid w:val="00C932A2"/>
    <w:rsid w:val="00C94655"/>
    <w:rsid w:val="00C97980"/>
    <w:rsid w:val="00CA28A2"/>
    <w:rsid w:val="00CA2D27"/>
    <w:rsid w:val="00CA37AA"/>
    <w:rsid w:val="00CA45C5"/>
    <w:rsid w:val="00CB2212"/>
    <w:rsid w:val="00CB26D7"/>
    <w:rsid w:val="00CB32CA"/>
    <w:rsid w:val="00CC4EC6"/>
    <w:rsid w:val="00CD0CF7"/>
    <w:rsid w:val="00CD27FE"/>
    <w:rsid w:val="00CD3664"/>
    <w:rsid w:val="00CD38F3"/>
    <w:rsid w:val="00CD3CF6"/>
    <w:rsid w:val="00CD4388"/>
    <w:rsid w:val="00CD5FE9"/>
    <w:rsid w:val="00CD627B"/>
    <w:rsid w:val="00CD69ED"/>
    <w:rsid w:val="00CD6C55"/>
    <w:rsid w:val="00CE0FED"/>
    <w:rsid w:val="00CE1FB3"/>
    <w:rsid w:val="00CE3D37"/>
    <w:rsid w:val="00CE4A50"/>
    <w:rsid w:val="00CF2899"/>
    <w:rsid w:val="00CF63AE"/>
    <w:rsid w:val="00CF6429"/>
    <w:rsid w:val="00D060A2"/>
    <w:rsid w:val="00D06C28"/>
    <w:rsid w:val="00D07195"/>
    <w:rsid w:val="00D075BE"/>
    <w:rsid w:val="00D10008"/>
    <w:rsid w:val="00D10B83"/>
    <w:rsid w:val="00D113C9"/>
    <w:rsid w:val="00D1191D"/>
    <w:rsid w:val="00D139B6"/>
    <w:rsid w:val="00D147A6"/>
    <w:rsid w:val="00D17D73"/>
    <w:rsid w:val="00D20DBC"/>
    <w:rsid w:val="00D24B73"/>
    <w:rsid w:val="00D2566F"/>
    <w:rsid w:val="00D3056F"/>
    <w:rsid w:val="00D30B66"/>
    <w:rsid w:val="00D31A12"/>
    <w:rsid w:val="00D3434B"/>
    <w:rsid w:val="00D37017"/>
    <w:rsid w:val="00D37509"/>
    <w:rsid w:val="00D41106"/>
    <w:rsid w:val="00D43048"/>
    <w:rsid w:val="00D45ACF"/>
    <w:rsid w:val="00D47039"/>
    <w:rsid w:val="00D47A0F"/>
    <w:rsid w:val="00D526F0"/>
    <w:rsid w:val="00D52A68"/>
    <w:rsid w:val="00D52F62"/>
    <w:rsid w:val="00D55A84"/>
    <w:rsid w:val="00D55C7E"/>
    <w:rsid w:val="00D56B78"/>
    <w:rsid w:val="00D56D80"/>
    <w:rsid w:val="00D574EA"/>
    <w:rsid w:val="00D6044A"/>
    <w:rsid w:val="00D649F4"/>
    <w:rsid w:val="00D70E0C"/>
    <w:rsid w:val="00D72300"/>
    <w:rsid w:val="00D73ADD"/>
    <w:rsid w:val="00D74611"/>
    <w:rsid w:val="00D74CDB"/>
    <w:rsid w:val="00D75898"/>
    <w:rsid w:val="00D75C61"/>
    <w:rsid w:val="00D76332"/>
    <w:rsid w:val="00D76614"/>
    <w:rsid w:val="00D77562"/>
    <w:rsid w:val="00D777F6"/>
    <w:rsid w:val="00D80E74"/>
    <w:rsid w:val="00D813E2"/>
    <w:rsid w:val="00D81A25"/>
    <w:rsid w:val="00D82485"/>
    <w:rsid w:val="00D82655"/>
    <w:rsid w:val="00D82C1E"/>
    <w:rsid w:val="00D906E1"/>
    <w:rsid w:val="00D94081"/>
    <w:rsid w:val="00D95A74"/>
    <w:rsid w:val="00DA14FA"/>
    <w:rsid w:val="00DA1782"/>
    <w:rsid w:val="00DA2A30"/>
    <w:rsid w:val="00DA4E68"/>
    <w:rsid w:val="00DB1CD8"/>
    <w:rsid w:val="00DB3391"/>
    <w:rsid w:val="00DB498C"/>
    <w:rsid w:val="00DB77BF"/>
    <w:rsid w:val="00DB7DCF"/>
    <w:rsid w:val="00DC080B"/>
    <w:rsid w:val="00DC344F"/>
    <w:rsid w:val="00DC5384"/>
    <w:rsid w:val="00DC6BB4"/>
    <w:rsid w:val="00DC6CD9"/>
    <w:rsid w:val="00DD18A7"/>
    <w:rsid w:val="00DD1DFA"/>
    <w:rsid w:val="00DD2AB6"/>
    <w:rsid w:val="00DD7BEB"/>
    <w:rsid w:val="00DE0C04"/>
    <w:rsid w:val="00DE1E8D"/>
    <w:rsid w:val="00DE69FA"/>
    <w:rsid w:val="00DE6C31"/>
    <w:rsid w:val="00DE74BF"/>
    <w:rsid w:val="00DE79FD"/>
    <w:rsid w:val="00DF03F7"/>
    <w:rsid w:val="00DF24A0"/>
    <w:rsid w:val="00DF311E"/>
    <w:rsid w:val="00DF49A3"/>
    <w:rsid w:val="00DF56AD"/>
    <w:rsid w:val="00DF5A9F"/>
    <w:rsid w:val="00DF67C1"/>
    <w:rsid w:val="00DF6C54"/>
    <w:rsid w:val="00DF73DA"/>
    <w:rsid w:val="00E0128B"/>
    <w:rsid w:val="00E0342E"/>
    <w:rsid w:val="00E036D5"/>
    <w:rsid w:val="00E03948"/>
    <w:rsid w:val="00E0394E"/>
    <w:rsid w:val="00E06BEF"/>
    <w:rsid w:val="00E12B3D"/>
    <w:rsid w:val="00E12F83"/>
    <w:rsid w:val="00E13A47"/>
    <w:rsid w:val="00E1413B"/>
    <w:rsid w:val="00E1437A"/>
    <w:rsid w:val="00E15AD4"/>
    <w:rsid w:val="00E20632"/>
    <w:rsid w:val="00E20995"/>
    <w:rsid w:val="00E20EBD"/>
    <w:rsid w:val="00E2133E"/>
    <w:rsid w:val="00E215FF"/>
    <w:rsid w:val="00E2277E"/>
    <w:rsid w:val="00E24DA5"/>
    <w:rsid w:val="00E25535"/>
    <w:rsid w:val="00E319A2"/>
    <w:rsid w:val="00E31A24"/>
    <w:rsid w:val="00E3561D"/>
    <w:rsid w:val="00E413A8"/>
    <w:rsid w:val="00E429AE"/>
    <w:rsid w:val="00E4746D"/>
    <w:rsid w:val="00E52192"/>
    <w:rsid w:val="00E53266"/>
    <w:rsid w:val="00E54276"/>
    <w:rsid w:val="00E5579F"/>
    <w:rsid w:val="00E57596"/>
    <w:rsid w:val="00E641E6"/>
    <w:rsid w:val="00E71E5A"/>
    <w:rsid w:val="00E80427"/>
    <w:rsid w:val="00E84A8B"/>
    <w:rsid w:val="00E86CD0"/>
    <w:rsid w:val="00E8707B"/>
    <w:rsid w:val="00E879DB"/>
    <w:rsid w:val="00E9224F"/>
    <w:rsid w:val="00E92AE3"/>
    <w:rsid w:val="00E92B86"/>
    <w:rsid w:val="00EA0C6D"/>
    <w:rsid w:val="00EA215B"/>
    <w:rsid w:val="00EA5595"/>
    <w:rsid w:val="00EA5DED"/>
    <w:rsid w:val="00EA6A6D"/>
    <w:rsid w:val="00EA77B1"/>
    <w:rsid w:val="00EB2B00"/>
    <w:rsid w:val="00EB53A3"/>
    <w:rsid w:val="00EB5AA1"/>
    <w:rsid w:val="00EC2309"/>
    <w:rsid w:val="00EC2BE1"/>
    <w:rsid w:val="00EC2F64"/>
    <w:rsid w:val="00ED03C9"/>
    <w:rsid w:val="00ED0F25"/>
    <w:rsid w:val="00ED1CAF"/>
    <w:rsid w:val="00ED1EFD"/>
    <w:rsid w:val="00ED481D"/>
    <w:rsid w:val="00ED4973"/>
    <w:rsid w:val="00ED545B"/>
    <w:rsid w:val="00EE04E5"/>
    <w:rsid w:val="00EE3542"/>
    <w:rsid w:val="00EE5FC7"/>
    <w:rsid w:val="00EE7D64"/>
    <w:rsid w:val="00EE7F41"/>
    <w:rsid w:val="00EF08A2"/>
    <w:rsid w:val="00EF4589"/>
    <w:rsid w:val="00EF56D6"/>
    <w:rsid w:val="00F00337"/>
    <w:rsid w:val="00F00A02"/>
    <w:rsid w:val="00F02344"/>
    <w:rsid w:val="00F055F7"/>
    <w:rsid w:val="00F05A17"/>
    <w:rsid w:val="00F063D7"/>
    <w:rsid w:val="00F06EFD"/>
    <w:rsid w:val="00F07A48"/>
    <w:rsid w:val="00F10D21"/>
    <w:rsid w:val="00F15A65"/>
    <w:rsid w:val="00F17AD4"/>
    <w:rsid w:val="00F22507"/>
    <w:rsid w:val="00F2496B"/>
    <w:rsid w:val="00F25AAF"/>
    <w:rsid w:val="00F25CB4"/>
    <w:rsid w:val="00F30738"/>
    <w:rsid w:val="00F324A7"/>
    <w:rsid w:val="00F34D10"/>
    <w:rsid w:val="00F37CEA"/>
    <w:rsid w:val="00F41A19"/>
    <w:rsid w:val="00F45CBD"/>
    <w:rsid w:val="00F47EE3"/>
    <w:rsid w:val="00F50F6A"/>
    <w:rsid w:val="00F52F4F"/>
    <w:rsid w:val="00F532A7"/>
    <w:rsid w:val="00F56BF9"/>
    <w:rsid w:val="00F61343"/>
    <w:rsid w:val="00F637B6"/>
    <w:rsid w:val="00F63A06"/>
    <w:rsid w:val="00F67BC6"/>
    <w:rsid w:val="00F72E5A"/>
    <w:rsid w:val="00F753B7"/>
    <w:rsid w:val="00F76291"/>
    <w:rsid w:val="00F776F7"/>
    <w:rsid w:val="00F8209B"/>
    <w:rsid w:val="00F91507"/>
    <w:rsid w:val="00F91AD3"/>
    <w:rsid w:val="00F97671"/>
    <w:rsid w:val="00FA0413"/>
    <w:rsid w:val="00FA0470"/>
    <w:rsid w:val="00FA1FEA"/>
    <w:rsid w:val="00FA23C7"/>
    <w:rsid w:val="00FA27FE"/>
    <w:rsid w:val="00FA534A"/>
    <w:rsid w:val="00FB1220"/>
    <w:rsid w:val="00FB2B23"/>
    <w:rsid w:val="00FB4014"/>
    <w:rsid w:val="00FB6423"/>
    <w:rsid w:val="00FB6F3E"/>
    <w:rsid w:val="00FB78F9"/>
    <w:rsid w:val="00FC0B1E"/>
    <w:rsid w:val="00FC2286"/>
    <w:rsid w:val="00FC2F5F"/>
    <w:rsid w:val="00FC537C"/>
    <w:rsid w:val="00FC571A"/>
    <w:rsid w:val="00FC6BC8"/>
    <w:rsid w:val="00FD2617"/>
    <w:rsid w:val="00FD2635"/>
    <w:rsid w:val="00FD35AA"/>
    <w:rsid w:val="00FE5878"/>
    <w:rsid w:val="00FF1865"/>
    <w:rsid w:val="00FF1AE2"/>
    <w:rsid w:val="00FF20D7"/>
    <w:rsid w:val="00FF4D93"/>
    <w:rsid w:val="01133753"/>
    <w:rsid w:val="01481EAC"/>
    <w:rsid w:val="015464F3"/>
    <w:rsid w:val="046724C5"/>
    <w:rsid w:val="04953394"/>
    <w:rsid w:val="05B96BEB"/>
    <w:rsid w:val="062A122C"/>
    <w:rsid w:val="06C30126"/>
    <w:rsid w:val="075C7DDC"/>
    <w:rsid w:val="08280CF2"/>
    <w:rsid w:val="0A515613"/>
    <w:rsid w:val="0B2360D1"/>
    <w:rsid w:val="0D23109A"/>
    <w:rsid w:val="0FE12B5A"/>
    <w:rsid w:val="10BC60C1"/>
    <w:rsid w:val="11096801"/>
    <w:rsid w:val="116B5221"/>
    <w:rsid w:val="12124AB5"/>
    <w:rsid w:val="12932DE5"/>
    <w:rsid w:val="13124658"/>
    <w:rsid w:val="13405853"/>
    <w:rsid w:val="143D70B2"/>
    <w:rsid w:val="154B0A80"/>
    <w:rsid w:val="155E61A1"/>
    <w:rsid w:val="158B5FE6"/>
    <w:rsid w:val="17060741"/>
    <w:rsid w:val="18565592"/>
    <w:rsid w:val="189C466F"/>
    <w:rsid w:val="1A09288F"/>
    <w:rsid w:val="1D135AC2"/>
    <w:rsid w:val="1D6C05A0"/>
    <w:rsid w:val="1D6C2E80"/>
    <w:rsid w:val="1DF4005A"/>
    <w:rsid w:val="1EDD0208"/>
    <w:rsid w:val="22295B1A"/>
    <w:rsid w:val="23E70212"/>
    <w:rsid w:val="24120144"/>
    <w:rsid w:val="24187544"/>
    <w:rsid w:val="270348B9"/>
    <w:rsid w:val="274326C6"/>
    <w:rsid w:val="28F57442"/>
    <w:rsid w:val="29C8521C"/>
    <w:rsid w:val="2A945AD5"/>
    <w:rsid w:val="2C1657D5"/>
    <w:rsid w:val="2C2417F8"/>
    <w:rsid w:val="2C87434E"/>
    <w:rsid w:val="2DAE471E"/>
    <w:rsid w:val="2DD42079"/>
    <w:rsid w:val="2E922BF6"/>
    <w:rsid w:val="30477D18"/>
    <w:rsid w:val="30B515F7"/>
    <w:rsid w:val="31B94118"/>
    <w:rsid w:val="31BE78AB"/>
    <w:rsid w:val="31D616CE"/>
    <w:rsid w:val="32262F41"/>
    <w:rsid w:val="334362E1"/>
    <w:rsid w:val="341C562B"/>
    <w:rsid w:val="35B425EF"/>
    <w:rsid w:val="364126B9"/>
    <w:rsid w:val="393B1A65"/>
    <w:rsid w:val="3B476ACD"/>
    <w:rsid w:val="3B631435"/>
    <w:rsid w:val="3C585A10"/>
    <w:rsid w:val="3C5A5F52"/>
    <w:rsid w:val="3D666AC7"/>
    <w:rsid w:val="3DC41B83"/>
    <w:rsid w:val="3E574BE6"/>
    <w:rsid w:val="3EBD28FC"/>
    <w:rsid w:val="3EFD1D26"/>
    <w:rsid w:val="405006D8"/>
    <w:rsid w:val="408A636F"/>
    <w:rsid w:val="428C39AA"/>
    <w:rsid w:val="43530E23"/>
    <w:rsid w:val="46772BA7"/>
    <w:rsid w:val="47DC3773"/>
    <w:rsid w:val="482F577C"/>
    <w:rsid w:val="49562FE0"/>
    <w:rsid w:val="4AB5099E"/>
    <w:rsid w:val="4C0009C0"/>
    <w:rsid w:val="4C2E020A"/>
    <w:rsid w:val="4E1E2F39"/>
    <w:rsid w:val="4E394E7C"/>
    <w:rsid w:val="4F467BDB"/>
    <w:rsid w:val="4F586138"/>
    <w:rsid w:val="4F593BBA"/>
    <w:rsid w:val="4F7A6C1D"/>
    <w:rsid w:val="4FAF6B47"/>
    <w:rsid w:val="4FBE7162"/>
    <w:rsid w:val="4FE60C0A"/>
    <w:rsid w:val="50EA521D"/>
    <w:rsid w:val="511205BD"/>
    <w:rsid w:val="512B5193"/>
    <w:rsid w:val="51384450"/>
    <w:rsid w:val="516162E5"/>
    <w:rsid w:val="51651CC3"/>
    <w:rsid w:val="51A0516E"/>
    <w:rsid w:val="531931B5"/>
    <w:rsid w:val="5350703E"/>
    <w:rsid w:val="53BC4355"/>
    <w:rsid w:val="54590D66"/>
    <w:rsid w:val="570738D6"/>
    <w:rsid w:val="59241AB0"/>
    <w:rsid w:val="59587923"/>
    <w:rsid w:val="59E10CF3"/>
    <w:rsid w:val="5A1020C1"/>
    <w:rsid w:val="5A38488A"/>
    <w:rsid w:val="5AF415CB"/>
    <w:rsid w:val="5BE1154B"/>
    <w:rsid w:val="5BFE3079"/>
    <w:rsid w:val="5DFB411A"/>
    <w:rsid w:val="5EFB5AFB"/>
    <w:rsid w:val="5FCB78B7"/>
    <w:rsid w:val="601C6553"/>
    <w:rsid w:val="60732A94"/>
    <w:rsid w:val="611C1CFC"/>
    <w:rsid w:val="617B347F"/>
    <w:rsid w:val="61DA7617"/>
    <w:rsid w:val="61E324A5"/>
    <w:rsid w:val="62832956"/>
    <w:rsid w:val="631A3EC3"/>
    <w:rsid w:val="63E11A55"/>
    <w:rsid w:val="654266AF"/>
    <w:rsid w:val="6546340E"/>
    <w:rsid w:val="664F5567"/>
    <w:rsid w:val="66A562F6"/>
    <w:rsid w:val="689B6D27"/>
    <w:rsid w:val="693C755E"/>
    <w:rsid w:val="6AB638C7"/>
    <w:rsid w:val="6ABC062A"/>
    <w:rsid w:val="6B4D6155"/>
    <w:rsid w:val="6D2423A6"/>
    <w:rsid w:val="6E504EDF"/>
    <w:rsid w:val="6F185E1E"/>
    <w:rsid w:val="6F686A54"/>
    <w:rsid w:val="6F8D3411"/>
    <w:rsid w:val="6FCF61CB"/>
    <w:rsid w:val="6FEA3E12"/>
    <w:rsid w:val="708F42B8"/>
    <w:rsid w:val="70DC0B34"/>
    <w:rsid w:val="7391270B"/>
    <w:rsid w:val="76F322B9"/>
    <w:rsid w:val="7721127E"/>
    <w:rsid w:val="785F6511"/>
    <w:rsid w:val="79AF6B7C"/>
    <w:rsid w:val="79B934C1"/>
    <w:rsid w:val="79FF606D"/>
    <w:rsid w:val="7C3A6A24"/>
    <w:rsid w:val="7C4F7C82"/>
    <w:rsid w:val="7C810791"/>
    <w:rsid w:val="7E150E85"/>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qFormat="1" w:uiPriority="35"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qFormat="1" w:unhideWhenUsed="0" w:uiPriority="99" w:semiHidden="0" w:name="E-mail Signature"/>
    <w:lsdException w:qFormat="1"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iPriority="99" w:semiHidden="0" w:name="Balloon Text"/>
    <w:lsdException w:qFormat="1" w:unhideWhenUsed="0" w:uiPriority="0" w:semiHidden="0" w:name="Table Grid"/>
    <w:lsdException w:qFormat="1" w:unhideWhenUsed="0" w:uiPriority="99"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Times New Roman" w:hAnsi="Times New Roman" w:eastAsia="宋体" w:cs="Times New Roman"/>
      <w:kern w:val="0"/>
      <w:sz w:val="24"/>
      <w:szCs w:val="24"/>
      <w:lang w:val="en-US" w:eastAsia="zh-CN" w:bidi="ar-SA"/>
    </w:rPr>
  </w:style>
  <w:style w:type="paragraph" w:styleId="3">
    <w:name w:val="heading 1"/>
    <w:basedOn w:val="1"/>
    <w:link w:val="20"/>
    <w:qFormat/>
    <w:uiPriority w:val="1"/>
    <w:pPr>
      <w:outlineLvl w:val="0"/>
    </w:pPr>
    <w:rPr>
      <w:rFonts w:ascii="黑体" w:eastAsia="黑体"/>
      <w:sz w:val="44"/>
    </w:rPr>
  </w:style>
  <w:style w:type="paragraph" w:styleId="4">
    <w:name w:val="heading 2"/>
    <w:basedOn w:val="1"/>
    <w:next w:val="1"/>
    <w:link w:val="21"/>
    <w:qFormat/>
    <w:uiPriority w:val="1"/>
    <w:pPr>
      <w:ind w:left="1855"/>
      <w:outlineLvl w:val="1"/>
    </w:pPr>
    <w:rPr>
      <w:rFonts w:ascii="黑体" w:eastAsia="黑体"/>
      <w:sz w:val="32"/>
    </w:rPr>
  </w:style>
  <w:style w:type="paragraph" w:styleId="5">
    <w:name w:val="heading 3"/>
    <w:basedOn w:val="1"/>
    <w:link w:val="22"/>
    <w:qFormat/>
    <w:uiPriority w:val="1"/>
    <w:pPr>
      <w:ind w:left="138"/>
      <w:outlineLvl w:val="2"/>
    </w:pPr>
    <w:rPr>
      <w:rFonts w:ascii="黑体" w:eastAsia="黑体"/>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cs="Arial"/>
      <w:b/>
      <w:bCs/>
      <w:sz w:val="32"/>
      <w:szCs w:val="32"/>
    </w:rPr>
  </w:style>
  <w:style w:type="paragraph" w:styleId="6">
    <w:name w:val="Document Map"/>
    <w:basedOn w:val="1"/>
    <w:link w:val="40"/>
    <w:unhideWhenUsed/>
    <w:qFormat/>
    <w:uiPriority w:val="99"/>
    <w:rPr>
      <w:rFonts w:ascii="宋体"/>
      <w:sz w:val="18"/>
    </w:rPr>
  </w:style>
  <w:style w:type="paragraph" w:styleId="7">
    <w:name w:val="Body Text"/>
    <w:basedOn w:val="1"/>
    <w:link w:val="55"/>
    <w:unhideWhenUsed/>
    <w:qFormat/>
    <w:uiPriority w:val="1"/>
    <w:pPr>
      <w:ind w:left="138"/>
    </w:pPr>
    <w:rPr>
      <w:rFonts w:ascii="宋体"/>
    </w:rPr>
  </w:style>
  <w:style w:type="paragraph" w:styleId="8">
    <w:name w:val="toc 3"/>
    <w:basedOn w:val="1"/>
    <w:next w:val="1"/>
    <w:autoRedefine/>
    <w:qFormat/>
    <w:uiPriority w:val="39"/>
    <w:pPr>
      <w:ind w:left="840" w:leftChars="400"/>
    </w:pPr>
  </w:style>
  <w:style w:type="paragraph" w:styleId="9">
    <w:name w:val="Balloon Text"/>
    <w:basedOn w:val="1"/>
    <w:link w:val="39"/>
    <w:unhideWhenUsed/>
    <w:qFormat/>
    <w:uiPriority w:val="99"/>
    <w:rPr>
      <w:sz w:val="18"/>
    </w:rPr>
  </w:style>
  <w:style w:type="paragraph" w:styleId="10">
    <w:name w:val="footer"/>
    <w:basedOn w:val="1"/>
    <w:link w:val="47"/>
    <w:unhideWhenUsed/>
    <w:qFormat/>
    <w:uiPriority w:val="99"/>
    <w:pPr>
      <w:tabs>
        <w:tab w:val="center" w:pos="4153"/>
        <w:tab w:val="right" w:pos="8306"/>
      </w:tabs>
      <w:snapToGrid w:val="0"/>
    </w:pPr>
    <w:rPr>
      <w:sz w:val="18"/>
    </w:rPr>
  </w:style>
  <w:style w:type="paragraph" w:styleId="11">
    <w:name w:val="header"/>
    <w:basedOn w:val="1"/>
    <w:link w:val="30"/>
    <w:unhideWhenUsed/>
    <w:qFormat/>
    <w:uiPriority w:val="99"/>
    <w:pPr>
      <w:pBdr>
        <w:bottom w:val="single" w:color="auto" w:sz="6" w:space="1"/>
      </w:pBdr>
      <w:tabs>
        <w:tab w:val="center" w:pos="4153"/>
        <w:tab w:val="right" w:pos="8306"/>
      </w:tabs>
      <w:snapToGrid w:val="0"/>
      <w:jc w:val="center"/>
    </w:pPr>
    <w:rPr>
      <w:sz w:val="18"/>
    </w:rPr>
  </w:style>
  <w:style w:type="paragraph" w:styleId="12">
    <w:name w:val="toc 1"/>
    <w:basedOn w:val="1"/>
    <w:next w:val="1"/>
    <w:autoRedefine/>
    <w:qFormat/>
    <w:uiPriority w:val="39"/>
  </w:style>
  <w:style w:type="paragraph" w:styleId="13">
    <w:name w:val="toc 2"/>
    <w:basedOn w:val="1"/>
    <w:next w:val="1"/>
    <w:autoRedefine/>
    <w:qFormat/>
    <w:uiPriority w:val="39"/>
    <w:pPr>
      <w:ind w:left="420" w:leftChars="200"/>
    </w:pPr>
  </w:style>
  <w:style w:type="paragraph" w:styleId="14">
    <w:name w:val="Normal (Web)"/>
    <w:basedOn w:val="1"/>
    <w:unhideWhenUsed/>
    <w:qFormat/>
    <w:uiPriority w:val="99"/>
    <w:pPr>
      <w:widowControl/>
      <w:autoSpaceDE/>
      <w:autoSpaceDN/>
      <w:adjustRightInd/>
      <w:spacing w:before="100" w:beforeAutospacing="1" w:after="100" w:afterAutospacing="1"/>
    </w:pPr>
    <w:rPr>
      <w:rFonts w:ascii="宋体" w:hAnsi="宋体" w:cs="宋体"/>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22"/>
    <w:rPr>
      <w:b/>
    </w:rPr>
  </w:style>
  <w:style w:type="character" w:styleId="19">
    <w:name w:val="Hyperlink"/>
    <w:basedOn w:val="17"/>
    <w:unhideWhenUsed/>
    <w:qFormat/>
    <w:uiPriority w:val="99"/>
    <w:rPr>
      <w:rFonts w:cs="Times New Roman"/>
      <w:color w:val="0000FF"/>
      <w:u w:val="single"/>
    </w:rPr>
  </w:style>
  <w:style w:type="character" w:customStyle="1" w:styleId="20">
    <w:name w:val="标题 1 Char"/>
    <w:basedOn w:val="17"/>
    <w:link w:val="3"/>
    <w:unhideWhenUsed/>
    <w:qFormat/>
    <w:locked/>
    <w:uiPriority w:val="9"/>
    <w:rPr>
      <w:rFonts w:ascii="宋体" w:cs="Times New Roman"/>
      <w:b/>
      <w:kern w:val="44"/>
      <w:sz w:val="44"/>
    </w:rPr>
  </w:style>
  <w:style w:type="character" w:customStyle="1" w:styleId="21">
    <w:name w:val="标题 2 Char"/>
    <w:basedOn w:val="17"/>
    <w:link w:val="4"/>
    <w:unhideWhenUsed/>
    <w:qFormat/>
    <w:locked/>
    <w:uiPriority w:val="9"/>
    <w:rPr>
      <w:rFonts w:ascii="Cambria" w:cs="Times New Roman"/>
      <w:b/>
      <w:sz w:val="32"/>
    </w:rPr>
  </w:style>
  <w:style w:type="character" w:customStyle="1" w:styleId="22">
    <w:name w:val="标题 3 Char"/>
    <w:basedOn w:val="17"/>
    <w:link w:val="5"/>
    <w:unhideWhenUsed/>
    <w:qFormat/>
    <w:locked/>
    <w:uiPriority w:val="9"/>
    <w:rPr>
      <w:rFonts w:ascii="宋体" w:cs="Times New Roman"/>
      <w:b/>
      <w:sz w:val="32"/>
    </w:rPr>
  </w:style>
  <w:style w:type="character" w:customStyle="1" w:styleId="23">
    <w:name w:val="文档结构图 Char22"/>
    <w:unhideWhenUsed/>
    <w:qFormat/>
    <w:uiPriority w:val="99"/>
    <w:rPr>
      <w:rFonts w:ascii="宋体"/>
      <w:sz w:val="18"/>
    </w:rPr>
  </w:style>
  <w:style w:type="character" w:customStyle="1" w:styleId="24">
    <w:name w:val="文档结构图 Char23"/>
    <w:unhideWhenUsed/>
    <w:qFormat/>
    <w:uiPriority w:val="99"/>
    <w:rPr>
      <w:rFonts w:ascii="宋体"/>
      <w:sz w:val="18"/>
    </w:rPr>
  </w:style>
  <w:style w:type="character" w:customStyle="1" w:styleId="25">
    <w:name w:val="页脚 Char23"/>
    <w:unhideWhenUsed/>
    <w:qFormat/>
    <w:uiPriority w:val="99"/>
    <w:rPr>
      <w:sz w:val="18"/>
    </w:rPr>
  </w:style>
  <w:style w:type="character" w:customStyle="1" w:styleId="26">
    <w:name w:val="正文文本 Char2"/>
    <w:unhideWhenUsed/>
    <w:qFormat/>
    <w:locked/>
    <w:uiPriority w:val="99"/>
    <w:rPr>
      <w:rFonts w:ascii="宋体"/>
    </w:rPr>
  </w:style>
  <w:style w:type="character" w:customStyle="1" w:styleId="27">
    <w:name w:val="文档结构图 Char1"/>
    <w:unhideWhenUsed/>
    <w:qFormat/>
    <w:locked/>
    <w:uiPriority w:val="99"/>
    <w:rPr>
      <w:rFonts w:ascii="宋体"/>
      <w:sz w:val="18"/>
    </w:rPr>
  </w:style>
  <w:style w:type="character" w:customStyle="1" w:styleId="28">
    <w:name w:val="页眉 Char1"/>
    <w:unhideWhenUsed/>
    <w:qFormat/>
    <w:locked/>
    <w:uiPriority w:val="99"/>
    <w:rPr>
      <w:rFonts w:ascii="宋体"/>
      <w:sz w:val="18"/>
    </w:rPr>
  </w:style>
  <w:style w:type="character" w:customStyle="1" w:styleId="29">
    <w:name w:val="页脚 Char4"/>
    <w:unhideWhenUsed/>
    <w:qFormat/>
    <w:locked/>
    <w:uiPriority w:val="99"/>
    <w:rPr>
      <w:rFonts w:ascii="宋体"/>
      <w:sz w:val="18"/>
    </w:rPr>
  </w:style>
  <w:style w:type="character" w:customStyle="1" w:styleId="30">
    <w:name w:val="页眉 Char"/>
    <w:basedOn w:val="17"/>
    <w:link w:val="11"/>
    <w:semiHidden/>
    <w:qFormat/>
    <w:locked/>
    <w:uiPriority w:val="99"/>
    <w:rPr>
      <w:rFonts w:cs="Times New Roman"/>
      <w:kern w:val="0"/>
      <w:sz w:val="18"/>
      <w:szCs w:val="18"/>
    </w:rPr>
  </w:style>
  <w:style w:type="character" w:customStyle="1" w:styleId="31">
    <w:name w:val="页脚 Char5"/>
    <w:basedOn w:val="17"/>
    <w:semiHidden/>
    <w:qFormat/>
    <w:uiPriority w:val="99"/>
    <w:rPr>
      <w:rFonts w:cs="Times New Roman"/>
      <w:kern w:val="0"/>
      <w:sz w:val="18"/>
      <w:szCs w:val="18"/>
    </w:rPr>
  </w:style>
  <w:style w:type="character" w:customStyle="1" w:styleId="32">
    <w:name w:val="正文文本 Char13"/>
    <w:unhideWhenUsed/>
    <w:qFormat/>
    <w:uiPriority w:val="99"/>
  </w:style>
  <w:style w:type="character" w:customStyle="1" w:styleId="33">
    <w:name w:val="页脚 Char1"/>
    <w:unhideWhenUsed/>
    <w:qFormat/>
    <w:locked/>
    <w:uiPriority w:val="99"/>
    <w:rPr>
      <w:rFonts w:ascii="宋体"/>
      <w:sz w:val="18"/>
    </w:rPr>
  </w:style>
  <w:style w:type="character" w:customStyle="1" w:styleId="34">
    <w:name w:val="页眉 Char32"/>
    <w:unhideWhenUsed/>
    <w:qFormat/>
    <w:uiPriority w:val="99"/>
    <w:rPr>
      <w:sz w:val="18"/>
    </w:rPr>
  </w:style>
  <w:style w:type="character" w:customStyle="1" w:styleId="35">
    <w:name w:val="页脚 Char2"/>
    <w:unhideWhenUsed/>
    <w:qFormat/>
    <w:uiPriority w:val="99"/>
    <w:rPr>
      <w:sz w:val="18"/>
    </w:rPr>
  </w:style>
  <w:style w:type="character" w:customStyle="1" w:styleId="36">
    <w:name w:val="页眉 Char31"/>
    <w:unhideWhenUsed/>
    <w:qFormat/>
    <w:uiPriority w:val="99"/>
    <w:rPr>
      <w:sz w:val="18"/>
    </w:rPr>
  </w:style>
  <w:style w:type="character" w:customStyle="1" w:styleId="37">
    <w:name w:val="页脚 Char21"/>
    <w:unhideWhenUsed/>
    <w:qFormat/>
    <w:uiPriority w:val="99"/>
    <w:rPr>
      <w:sz w:val="18"/>
    </w:rPr>
  </w:style>
  <w:style w:type="character" w:customStyle="1" w:styleId="38">
    <w:name w:val="页眉 Char2"/>
    <w:unhideWhenUsed/>
    <w:qFormat/>
    <w:locked/>
    <w:uiPriority w:val="99"/>
    <w:rPr>
      <w:rFonts w:ascii="宋体"/>
      <w:sz w:val="18"/>
    </w:rPr>
  </w:style>
  <w:style w:type="character" w:customStyle="1" w:styleId="39">
    <w:name w:val="批注框文本 Char"/>
    <w:basedOn w:val="17"/>
    <w:link w:val="9"/>
    <w:semiHidden/>
    <w:qFormat/>
    <w:locked/>
    <w:uiPriority w:val="99"/>
    <w:rPr>
      <w:rFonts w:cs="Times New Roman"/>
      <w:kern w:val="0"/>
      <w:sz w:val="18"/>
      <w:szCs w:val="18"/>
    </w:rPr>
  </w:style>
  <w:style w:type="character" w:customStyle="1" w:styleId="40">
    <w:name w:val="文档结构图 Char"/>
    <w:basedOn w:val="17"/>
    <w:link w:val="6"/>
    <w:semiHidden/>
    <w:qFormat/>
    <w:locked/>
    <w:uiPriority w:val="99"/>
    <w:rPr>
      <w:rFonts w:ascii="宋体" w:cs="Times New Roman"/>
      <w:kern w:val="0"/>
      <w:sz w:val="18"/>
      <w:szCs w:val="18"/>
    </w:rPr>
  </w:style>
  <w:style w:type="character" w:customStyle="1" w:styleId="41">
    <w:name w:val="正文文本 Char"/>
    <w:unhideWhenUsed/>
    <w:qFormat/>
    <w:locked/>
    <w:uiPriority w:val="99"/>
    <w:rPr>
      <w:rFonts w:ascii="宋体"/>
    </w:rPr>
  </w:style>
  <w:style w:type="character" w:customStyle="1" w:styleId="42">
    <w:name w:val="页眉 Char3"/>
    <w:unhideWhenUsed/>
    <w:qFormat/>
    <w:uiPriority w:val="99"/>
    <w:rPr>
      <w:sz w:val="18"/>
    </w:rPr>
  </w:style>
  <w:style w:type="character" w:customStyle="1" w:styleId="43">
    <w:name w:val="页眉 Char33"/>
    <w:unhideWhenUsed/>
    <w:qFormat/>
    <w:uiPriority w:val="99"/>
    <w:rPr>
      <w:sz w:val="18"/>
    </w:rPr>
  </w:style>
  <w:style w:type="character" w:customStyle="1" w:styleId="44">
    <w:name w:val="页脚 Char22"/>
    <w:unhideWhenUsed/>
    <w:qFormat/>
    <w:uiPriority w:val="99"/>
    <w:rPr>
      <w:sz w:val="18"/>
    </w:rPr>
  </w:style>
  <w:style w:type="character" w:customStyle="1" w:styleId="45">
    <w:name w:val="文档结构图 Char2"/>
    <w:unhideWhenUsed/>
    <w:qFormat/>
    <w:uiPriority w:val="99"/>
    <w:rPr>
      <w:rFonts w:ascii="宋体"/>
      <w:sz w:val="18"/>
    </w:rPr>
  </w:style>
  <w:style w:type="character" w:customStyle="1" w:styleId="46">
    <w:name w:val="正文文本 Char1"/>
    <w:unhideWhenUsed/>
    <w:qFormat/>
    <w:uiPriority w:val="99"/>
  </w:style>
  <w:style w:type="character" w:customStyle="1" w:styleId="47">
    <w:name w:val="页脚 Char"/>
    <w:basedOn w:val="17"/>
    <w:link w:val="10"/>
    <w:qFormat/>
    <w:locked/>
    <w:uiPriority w:val="99"/>
    <w:rPr>
      <w:rFonts w:cs="Times New Roman"/>
      <w:kern w:val="0"/>
      <w:sz w:val="18"/>
      <w:szCs w:val="18"/>
    </w:rPr>
  </w:style>
  <w:style w:type="paragraph" w:customStyle="1" w:styleId="48">
    <w:name w:val="Table Paragraph"/>
    <w:basedOn w:val="1"/>
    <w:unhideWhenUsed/>
    <w:qFormat/>
    <w:uiPriority w:val="1"/>
  </w:style>
  <w:style w:type="character" w:customStyle="1" w:styleId="49">
    <w:name w:val="文档结构图 Char4"/>
    <w:unhideWhenUsed/>
    <w:qFormat/>
    <w:locked/>
    <w:uiPriority w:val="99"/>
    <w:rPr>
      <w:rFonts w:ascii="宋体"/>
      <w:sz w:val="18"/>
    </w:rPr>
  </w:style>
  <w:style w:type="character" w:customStyle="1" w:styleId="50">
    <w:name w:val="页脚 Char3"/>
    <w:unhideWhenUsed/>
    <w:qFormat/>
    <w:locked/>
    <w:uiPriority w:val="99"/>
    <w:rPr>
      <w:rFonts w:ascii="宋体"/>
      <w:sz w:val="18"/>
    </w:rPr>
  </w:style>
  <w:style w:type="character" w:customStyle="1" w:styleId="51">
    <w:name w:val="正文文本 Char12"/>
    <w:unhideWhenUsed/>
    <w:qFormat/>
    <w:uiPriority w:val="99"/>
  </w:style>
  <w:style w:type="character" w:customStyle="1" w:styleId="52">
    <w:name w:val="正文文本 Char11"/>
    <w:unhideWhenUsed/>
    <w:qFormat/>
    <w:uiPriority w:val="99"/>
  </w:style>
  <w:style w:type="character" w:customStyle="1" w:styleId="53">
    <w:name w:val="正文文本 Char3"/>
    <w:unhideWhenUsed/>
    <w:qFormat/>
    <w:locked/>
    <w:uiPriority w:val="99"/>
    <w:rPr>
      <w:rFonts w:ascii="宋体"/>
    </w:rPr>
  </w:style>
  <w:style w:type="character" w:customStyle="1" w:styleId="54">
    <w:name w:val="文档结构图 Char21"/>
    <w:unhideWhenUsed/>
    <w:qFormat/>
    <w:uiPriority w:val="99"/>
    <w:rPr>
      <w:rFonts w:ascii="宋体"/>
      <w:sz w:val="18"/>
    </w:rPr>
  </w:style>
  <w:style w:type="character" w:customStyle="1" w:styleId="55">
    <w:name w:val="正文文本 Char4"/>
    <w:basedOn w:val="17"/>
    <w:link w:val="7"/>
    <w:semiHidden/>
    <w:qFormat/>
    <w:locked/>
    <w:uiPriority w:val="99"/>
    <w:rPr>
      <w:rFonts w:cs="Times New Roman"/>
      <w:kern w:val="0"/>
      <w:sz w:val="24"/>
      <w:szCs w:val="24"/>
    </w:rPr>
  </w:style>
  <w:style w:type="character" w:customStyle="1" w:styleId="56">
    <w:name w:val="正文文本 Char5"/>
    <w:basedOn w:val="17"/>
    <w:semiHidden/>
    <w:qFormat/>
    <w:uiPriority w:val="99"/>
    <w:rPr>
      <w:rFonts w:cs="Times New Roman"/>
      <w:kern w:val="0"/>
      <w:sz w:val="24"/>
      <w:szCs w:val="24"/>
    </w:rPr>
  </w:style>
  <w:style w:type="character" w:customStyle="1" w:styleId="57">
    <w:name w:val="页眉 Char5"/>
    <w:basedOn w:val="17"/>
    <w:semiHidden/>
    <w:qFormat/>
    <w:uiPriority w:val="99"/>
    <w:rPr>
      <w:rFonts w:cs="Times New Roman"/>
      <w:kern w:val="0"/>
      <w:sz w:val="18"/>
      <w:szCs w:val="18"/>
    </w:rPr>
  </w:style>
  <w:style w:type="character" w:customStyle="1" w:styleId="58">
    <w:name w:val="批注框文本 Char1"/>
    <w:basedOn w:val="17"/>
    <w:semiHidden/>
    <w:qFormat/>
    <w:uiPriority w:val="99"/>
    <w:rPr>
      <w:rFonts w:cs="Times New Roman"/>
      <w:kern w:val="0"/>
      <w:sz w:val="18"/>
      <w:szCs w:val="18"/>
    </w:rPr>
  </w:style>
  <w:style w:type="character" w:customStyle="1" w:styleId="59">
    <w:name w:val="文档结构图 Char3"/>
    <w:basedOn w:val="17"/>
    <w:semiHidden/>
    <w:qFormat/>
    <w:uiPriority w:val="99"/>
    <w:rPr>
      <w:rFonts w:ascii="宋体" w:cs="Times New Roman"/>
      <w:kern w:val="0"/>
      <w:sz w:val="18"/>
      <w:szCs w:val="18"/>
    </w:rPr>
  </w:style>
  <w:style w:type="paragraph" w:styleId="60">
    <w:name w:val="List Paragraph"/>
    <w:basedOn w:val="1"/>
    <w:qFormat/>
    <w:uiPriority w:val="1"/>
  </w:style>
  <w:style w:type="character" w:styleId="61">
    <w:name w:val="Placeholder Text"/>
    <w:basedOn w:val="17"/>
    <w:unhideWhenUsed/>
    <w:qFormat/>
    <w:uiPriority w:val="99"/>
    <w:rPr>
      <w:color w:val="808080"/>
    </w:rPr>
  </w:style>
  <w:style w:type="paragraph" w:customStyle="1" w:styleId="62">
    <w:name w:val="TOC Heading"/>
    <w:basedOn w:val="3"/>
    <w:next w:val="1"/>
    <w:unhideWhenUsed/>
    <w:qFormat/>
    <w:uiPriority w:val="39"/>
    <w:pPr>
      <w:keepNext/>
      <w:keepLines/>
      <w:widowControl/>
      <w:autoSpaceDE/>
      <w:autoSpaceDN/>
      <w:adjustRightInd/>
      <w:spacing w:before="480" w:line="276" w:lineRule="auto"/>
      <w:outlineLvl w:val="9"/>
    </w:pPr>
    <w:rPr>
      <w:rFonts w:asciiTheme="majorHAnsi" w:hAnsiTheme="majorHAnsi" w:eastAsiaTheme="majorEastAsia" w:cstheme="majorBidi"/>
      <w:b/>
      <w:bCs/>
      <w:color w:val="376092" w:themeColor="accent1" w:themeShade="BF"/>
      <w:sz w:val="28"/>
      <w:szCs w:val="28"/>
    </w:rPr>
  </w:style>
  <w:style w:type="paragraph" w:customStyle="1" w:styleId="63">
    <w:name w:val="CM32"/>
    <w:basedOn w:val="1"/>
    <w:next w:val="1"/>
    <w:unhideWhenUsed/>
    <w:qFormat/>
    <w:uiPriority w:val="99"/>
    <w:pPr>
      <w:spacing w:after="70"/>
    </w:pPr>
    <w:rPr>
      <w:rFonts w:ascii="黑体" w:hAnsi="Calibri" w:eastAsia="黑体"/>
    </w:rPr>
  </w:style>
  <w:style w:type="paragraph" w:customStyle="1" w:styleId="64">
    <w:name w:val="CM31"/>
    <w:basedOn w:val="1"/>
    <w:next w:val="1"/>
    <w:qFormat/>
    <w:uiPriority w:val="99"/>
    <w:pPr>
      <w:spacing w:after="115"/>
    </w:pPr>
    <w:rPr>
      <w:rFonts w:ascii="黑体" w:hAnsi="Calibri" w:eastAsia="黑体"/>
    </w:rPr>
  </w:style>
  <w:style w:type="paragraph" w:customStyle="1" w:styleId="65">
    <w:name w:val="CM33"/>
    <w:basedOn w:val="1"/>
    <w:next w:val="1"/>
    <w:qFormat/>
    <w:uiPriority w:val="99"/>
    <w:pPr>
      <w:spacing w:after="168"/>
    </w:pPr>
    <w:rPr>
      <w:rFonts w:ascii="黑体" w:hAnsi="Calibri" w:eastAsia="黑体"/>
    </w:rPr>
  </w:style>
  <w:style w:type="table" w:customStyle="1" w:styleId="66">
    <w:name w:val="网格型1"/>
    <w:basedOn w:val="15"/>
    <w:qFormat/>
    <w:uiPriority w:val="0"/>
    <w:rPr>
      <w:rFonts w:ascii="宋体"/>
      <w:kern w:val="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67">
    <w:name w:val="一级条标题"/>
    <w:next w:val="1"/>
    <w:qFormat/>
    <w:uiPriority w:val="0"/>
    <w:pPr>
      <w:numPr>
        <w:ilvl w:val="1"/>
        <w:numId w:val="1"/>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68">
    <w:name w:val="章标题"/>
    <w:next w:val="1"/>
    <w:qFormat/>
    <w:uiPriority w:val="0"/>
    <w:pPr>
      <w:numPr>
        <w:ilvl w:val="0"/>
        <w:numId w:val="1"/>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69">
    <w:name w:val="二级条标题"/>
    <w:basedOn w:val="67"/>
    <w:next w:val="1"/>
    <w:qFormat/>
    <w:uiPriority w:val="0"/>
    <w:pPr>
      <w:numPr>
        <w:ilvl w:val="2"/>
      </w:numPr>
      <w:spacing w:before="50" w:after="50"/>
      <w:outlineLvl w:val="3"/>
    </w:pPr>
  </w:style>
  <w:style w:type="paragraph" w:customStyle="1" w:styleId="70">
    <w:name w:val="四级条标题"/>
    <w:basedOn w:val="1"/>
    <w:next w:val="1"/>
    <w:qFormat/>
    <w:uiPriority w:val="0"/>
    <w:pPr>
      <w:widowControl/>
      <w:numPr>
        <w:ilvl w:val="4"/>
        <w:numId w:val="1"/>
      </w:numPr>
      <w:autoSpaceDE/>
      <w:autoSpaceDN/>
      <w:adjustRightInd/>
      <w:spacing w:before="50" w:beforeLines="50" w:after="50" w:afterLines="50"/>
      <w:outlineLvl w:val="5"/>
    </w:pPr>
    <w:rPr>
      <w:rFonts w:ascii="黑体" w:eastAsia="黑体"/>
      <w:sz w:val="21"/>
      <w:szCs w:val="21"/>
    </w:rPr>
  </w:style>
  <w:style w:type="paragraph" w:customStyle="1" w:styleId="71">
    <w:name w:val="五级条标题"/>
    <w:basedOn w:val="70"/>
    <w:next w:val="1"/>
    <w:qFormat/>
    <w:uiPriority w:val="0"/>
    <w:pPr>
      <w:numPr>
        <w:ilvl w:val="5"/>
      </w:numPr>
      <w:outlineLvl w:val="6"/>
    </w:pPr>
  </w:style>
  <w:style w:type="table" w:customStyle="1" w:styleId="72">
    <w:name w:val="网格型2"/>
    <w:basedOn w:val="15"/>
    <w:qFormat/>
    <w:uiPriority w:val="0"/>
    <w:rPr>
      <w:rFonts w:ascii="宋体"/>
      <w:kern w:val="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3">
    <w:name w:val="WPSOffice手动目录 1"/>
    <w:qFormat/>
    <w:uiPriority w:val="0"/>
    <w:pPr>
      <w:ind w:leftChars="0"/>
    </w:pPr>
    <w:rPr>
      <w:rFonts w:ascii="Times New Roman" w:hAnsi="Times New Roman" w:eastAsia="宋体" w:cs="Times New Roman"/>
      <w:sz w:val="20"/>
      <w:szCs w:val="20"/>
    </w:rPr>
  </w:style>
  <w:style w:type="paragraph" w:customStyle="1" w:styleId="74">
    <w:name w:val="WPSOffice手动目录 2"/>
    <w:qFormat/>
    <w:uiPriority w:val="0"/>
    <w:pPr>
      <w:ind w:leftChars="200"/>
    </w:pPr>
    <w:rPr>
      <w:rFonts w:ascii="Times New Roman" w:hAnsi="Times New Roman" w:eastAsia="宋体" w:cs="Times New Roman"/>
      <w:sz w:val="20"/>
      <w:szCs w:val="20"/>
    </w:rPr>
  </w:style>
  <w:style w:type="paragraph" w:customStyle="1" w:styleId="75">
    <w:name w:val="Default"/>
    <w:autoRedefine/>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14</Pages>
  <Words>4921</Words>
  <Characters>5812</Characters>
  <Lines>39</Lines>
  <Paragraphs>11</Paragraphs>
  <TotalTime>1</TotalTime>
  <ScaleCrop>false</ScaleCrop>
  <LinksUpToDate>false</LinksUpToDate>
  <CharactersWithSpaces>6134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2022-12-13T06:42:00Z</dcterms:created>
  <dc:creator>Administrator</dc:creator>
  <cp:lastModifiedBy>Y.B.Cheng</cp:lastModifiedBy>
  <cp:lastPrinted>2023-07-10T02:38:00Z</cp:lastPrinted>
  <dcterms:modified xsi:type="dcterms:W3CDTF">2024-12-20T05:09:53Z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5CF04AEEC142497590B04C73F17A7F30_13</vt:lpwstr>
  </property>
</Properties>
</file>